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D3599E">
      <w:pPr>
        <w:adjustRightInd w:val="0"/>
        <w:snapToGrid w:val="0"/>
        <w:spacing w:line="560" w:lineRule="exact"/>
        <w:jc w:val="center"/>
        <w:rPr>
          <w:rFonts w:ascii="Times New Roman" w:hAnsi="Times New Roman" w:eastAsia="方正小标宋简体"/>
          <w:color w:val="000000"/>
          <w:sz w:val="44"/>
          <w:szCs w:val="44"/>
        </w:rPr>
      </w:pPr>
      <w:r>
        <w:rPr>
          <w:rFonts w:hint="default" w:ascii="Times New Roman" w:hAnsi="Times New Roman" w:eastAsia="方正小标宋简体"/>
          <w:color w:val="000000"/>
          <w:sz w:val="44"/>
          <w:szCs w:val="44"/>
        </w:rPr>
        <w:t>湖北省地方标准编制说明</w:t>
      </w:r>
    </w:p>
    <w:p w14:paraId="79DCAD12">
      <w:pPr>
        <w:adjustRightInd w:val="0"/>
        <w:snapToGrid w:val="0"/>
        <w:spacing w:line="300" w:lineRule="exact"/>
        <w:jc w:val="right"/>
        <w:rPr>
          <w:rFonts w:ascii="Times New Roman" w:hAnsi="Times New Roman" w:eastAsia="方正小标宋简体"/>
          <w:color w:val="000000"/>
          <w:sz w:val="44"/>
          <w:szCs w:val="44"/>
        </w:rPr>
      </w:pPr>
    </w:p>
    <w:p w14:paraId="60034E28">
      <w:pPr>
        <w:adjustRightInd w:val="0"/>
        <w:snapToGrid w:val="0"/>
        <w:spacing w:line="560" w:lineRule="exact"/>
        <w:jc w:val="right"/>
        <w:rPr>
          <w:rFonts w:ascii="Times New Roman" w:hAnsi="Times New Roman" w:eastAsia="方正仿宋_GBK"/>
          <w:color w:val="000000"/>
          <w:sz w:val="32"/>
          <w:szCs w:val="32"/>
        </w:rPr>
      </w:pPr>
      <w:r>
        <w:rPr>
          <w:rFonts w:hint="default" w:ascii="Times New Roman" w:hAnsi="Times New Roman" w:eastAsia="仿宋_GB2312" w:cs="Times New Roman"/>
          <w:color w:val="000000"/>
          <w:sz w:val="32"/>
          <w:szCs w:val="32"/>
        </w:rPr>
        <w:t>202</w:t>
      </w:r>
      <w:r>
        <w:rPr>
          <w:rFonts w:hint="eastAsia" w:ascii="Times New Roman" w:hAnsi="Times New Roman" w:eastAsia="仿宋_GB2312" w:cs="Times New Roman"/>
          <w:color w:val="000000"/>
          <w:sz w:val="32"/>
          <w:szCs w:val="32"/>
          <w:lang w:val="en-US" w:eastAsia="zh-CN"/>
        </w:rPr>
        <w:t>5</w:t>
      </w:r>
      <w:r>
        <w:rPr>
          <w:rFonts w:hint="default" w:ascii="Times New Roman" w:hAnsi="Times New Roman" w:eastAsia="仿宋_GB2312" w:cs="Times New Roman"/>
          <w:color w:val="000000"/>
          <w:sz w:val="32"/>
          <w:szCs w:val="32"/>
        </w:rPr>
        <w:t>年</w:t>
      </w:r>
      <w:r>
        <w:rPr>
          <w:rFonts w:hint="eastAsia" w:ascii="Times New Roman" w:hAnsi="Times New Roman" w:eastAsia="仿宋_GB2312" w:cs="Times New Roman"/>
          <w:color w:val="000000"/>
          <w:sz w:val="32"/>
          <w:szCs w:val="32"/>
          <w:lang w:val="en-US" w:eastAsia="zh-CN"/>
        </w:rPr>
        <w:t>7</w:t>
      </w:r>
      <w:r>
        <w:rPr>
          <w:rFonts w:hint="default" w:ascii="Times New Roman" w:hAnsi="Times New Roman" w:eastAsia="仿宋_GB2312" w:cs="Times New Roman"/>
          <w:color w:val="000000"/>
          <w:sz w:val="32"/>
          <w:szCs w:val="32"/>
        </w:rPr>
        <w:t>月</w:t>
      </w:r>
      <w:r>
        <w:rPr>
          <w:rFonts w:hint="eastAsia" w:ascii="Times New Roman" w:hAnsi="Times New Roman" w:eastAsia="仿宋_GB2312" w:cs="Times New Roman"/>
          <w:color w:val="000000"/>
          <w:sz w:val="32"/>
          <w:szCs w:val="32"/>
          <w:lang w:val="en-US" w:eastAsia="zh-CN"/>
        </w:rPr>
        <w:t>9</w:t>
      </w:r>
      <w:r>
        <w:rPr>
          <w:rFonts w:hint="default" w:ascii="Times New Roman" w:hAnsi="Times New Roman" w:eastAsia="仿宋_GB2312" w:cs="Times New Roman"/>
          <w:color w:val="000000"/>
          <w:sz w:val="32"/>
          <w:szCs w:val="32"/>
        </w:rPr>
        <w:t>日</w:t>
      </w:r>
      <w:r>
        <w:rPr>
          <w:rFonts w:hint="default" w:ascii="Times New Roman" w:hAnsi="Times New Roman" w:eastAsia="方正仿宋_GBK"/>
          <w:color w:val="000000"/>
          <w:sz w:val="32"/>
          <w:szCs w:val="32"/>
        </w:rPr>
        <w:t xml:space="preserve">      </w:t>
      </w:r>
    </w:p>
    <w:tbl>
      <w:tblPr>
        <w:tblStyle w:val="11"/>
        <w:tblW w:w="549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0"/>
        <w:gridCol w:w="2557"/>
        <w:gridCol w:w="1375"/>
        <w:gridCol w:w="3364"/>
      </w:tblGrid>
      <w:tr w14:paraId="019A5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5" w:hRule="atLeast"/>
          <w:jc w:val="center"/>
        </w:trPr>
        <w:tc>
          <w:tcPr>
            <w:tcW w:w="1105" w:type="pct"/>
            <w:noWrap w:val="0"/>
            <w:vAlign w:val="center"/>
          </w:tcPr>
          <w:p w14:paraId="6AD178C6">
            <w:pPr>
              <w:adjustRightInd w:val="0"/>
              <w:snapToGrid w:val="0"/>
              <w:spacing w:line="360" w:lineRule="exact"/>
              <w:jc w:val="distribute"/>
              <w:rPr>
                <w:rFonts w:ascii="Times New Roman" w:hAnsi="Times New Roman" w:eastAsia="CESI仿宋-GB2312"/>
                <w:color w:val="000000"/>
                <w:sz w:val="28"/>
                <w:szCs w:val="32"/>
              </w:rPr>
            </w:pPr>
            <w:r>
              <w:rPr>
                <w:rFonts w:ascii="Times New Roman" w:hAnsi="Times New Roman" w:eastAsia="CESI仿宋-GB2312"/>
                <w:color w:val="000000"/>
                <w:sz w:val="28"/>
                <w:szCs w:val="32"/>
              </w:rPr>
              <w:t>标准名称</w:t>
            </w:r>
          </w:p>
        </w:tc>
        <w:tc>
          <w:tcPr>
            <w:tcW w:w="3894" w:type="pct"/>
            <w:gridSpan w:val="3"/>
            <w:noWrap w:val="0"/>
            <w:vAlign w:val="center"/>
          </w:tcPr>
          <w:p w14:paraId="14DCC18B">
            <w:pPr>
              <w:pStyle w:val="10"/>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210" w:leftChars="100"/>
              <w:jc w:val="left"/>
              <w:textAlignment w:val="auto"/>
              <w:rPr>
                <w:rFonts w:ascii="Times New Roman" w:hAnsi="Times New Roman" w:eastAsia="CESI仿宋-GB2312" w:cs="Times New Roman"/>
                <w:color w:val="000000"/>
                <w:sz w:val="28"/>
                <w:szCs w:val="32"/>
              </w:rPr>
            </w:pPr>
            <w:r>
              <w:rPr>
                <w:rFonts w:hint="eastAsia" w:ascii="Times New Roman" w:hAnsi="Times New Roman" w:eastAsia="CESI仿宋-GB2312" w:cs="Times New Roman"/>
                <w:color w:val="000000"/>
                <w:kern w:val="2"/>
                <w:sz w:val="28"/>
                <w:szCs w:val="32"/>
                <w:lang w:val="en-US" w:eastAsia="zh-CN" w:bidi="ar-SA"/>
              </w:rPr>
              <w:t>生态环境监测安全管理技术规范</w:t>
            </w:r>
            <w:r>
              <w:rPr>
                <w:rFonts w:hint="default" w:ascii="Times New Roman" w:hAnsi="Times New Roman" w:eastAsia="CESI仿宋-GB2312" w:cs="Times New Roman"/>
                <w:color w:val="000000"/>
                <w:kern w:val="2"/>
                <w:sz w:val="28"/>
                <w:szCs w:val="32"/>
                <w:lang w:val="en-US" w:eastAsia="zh-CN" w:bidi="ar-SA"/>
              </w:rPr>
              <w:t xml:space="preserve"> 第</w:t>
            </w:r>
            <w:r>
              <w:rPr>
                <w:rFonts w:hint="eastAsia" w:ascii="Times New Roman" w:hAnsi="Times New Roman" w:eastAsia="CESI仿宋-GB2312" w:cs="Times New Roman"/>
                <w:color w:val="000000"/>
                <w:kern w:val="2"/>
                <w:sz w:val="28"/>
                <w:szCs w:val="32"/>
                <w:lang w:val="en-US" w:eastAsia="zh-CN" w:bidi="ar-SA"/>
              </w:rPr>
              <w:t>1</w:t>
            </w:r>
            <w:r>
              <w:rPr>
                <w:rFonts w:hint="default" w:ascii="Times New Roman" w:hAnsi="Times New Roman" w:eastAsia="CESI仿宋-GB2312" w:cs="Times New Roman"/>
                <w:color w:val="000000"/>
                <w:kern w:val="2"/>
                <w:sz w:val="28"/>
                <w:szCs w:val="32"/>
                <w:lang w:val="en-US" w:eastAsia="zh-CN" w:bidi="ar-SA"/>
              </w:rPr>
              <w:t xml:space="preserve">部分 </w:t>
            </w:r>
            <w:r>
              <w:rPr>
                <w:rFonts w:hint="eastAsia" w:ascii="Times New Roman" w:hAnsi="Times New Roman" w:eastAsia="CESI仿宋-GB2312" w:cs="Times New Roman"/>
                <w:color w:val="000000"/>
                <w:kern w:val="2"/>
                <w:sz w:val="28"/>
                <w:szCs w:val="32"/>
                <w:lang w:val="en-US" w:eastAsia="zh-CN" w:bidi="ar-SA"/>
              </w:rPr>
              <w:t>总则</w:t>
            </w:r>
          </w:p>
        </w:tc>
      </w:tr>
      <w:tr w14:paraId="35CA5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05" w:type="pct"/>
            <w:noWrap w:val="0"/>
            <w:vAlign w:val="center"/>
          </w:tcPr>
          <w:p w14:paraId="0272F732">
            <w:pPr>
              <w:adjustRightInd w:val="0"/>
              <w:snapToGrid w:val="0"/>
              <w:spacing w:line="360" w:lineRule="exact"/>
              <w:jc w:val="distribute"/>
              <w:rPr>
                <w:rFonts w:ascii="Times New Roman" w:hAnsi="Times New Roman" w:eastAsia="CESI仿宋-GB2312"/>
                <w:color w:val="000000"/>
                <w:sz w:val="28"/>
                <w:szCs w:val="32"/>
              </w:rPr>
            </w:pPr>
            <w:r>
              <w:rPr>
                <w:rFonts w:ascii="Times New Roman" w:hAnsi="Times New Roman" w:eastAsia="CESI仿宋-GB2312"/>
                <w:color w:val="000000"/>
                <w:sz w:val="28"/>
                <w:szCs w:val="32"/>
              </w:rPr>
              <w:t>被修订或整合</w:t>
            </w:r>
          </w:p>
          <w:p w14:paraId="61B1E8DD">
            <w:pPr>
              <w:adjustRightInd w:val="0"/>
              <w:snapToGrid w:val="0"/>
              <w:spacing w:line="360" w:lineRule="exact"/>
              <w:jc w:val="distribute"/>
              <w:rPr>
                <w:rFonts w:ascii="Times New Roman" w:hAnsi="Times New Roman" w:eastAsia="CESI仿宋-GB2312"/>
                <w:color w:val="000000"/>
                <w:sz w:val="28"/>
                <w:szCs w:val="32"/>
              </w:rPr>
            </w:pPr>
            <w:r>
              <w:rPr>
                <w:rFonts w:ascii="Times New Roman" w:hAnsi="Times New Roman" w:eastAsia="CESI仿宋-GB2312"/>
                <w:color w:val="000000"/>
                <w:sz w:val="28"/>
                <w:szCs w:val="32"/>
              </w:rPr>
              <w:t>标准名称</w:t>
            </w:r>
          </w:p>
        </w:tc>
        <w:tc>
          <w:tcPr>
            <w:tcW w:w="1365" w:type="pct"/>
            <w:noWrap w:val="0"/>
            <w:vAlign w:val="center"/>
          </w:tcPr>
          <w:p w14:paraId="67B7872A">
            <w:pPr>
              <w:adjustRightInd w:val="0"/>
              <w:snapToGrid w:val="0"/>
              <w:spacing w:line="360" w:lineRule="exact"/>
              <w:jc w:val="center"/>
              <w:rPr>
                <w:rFonts w:ascii="Times New Roman" w:hAnsi="Times New Roman" w:eastAsia="CESI仿宋-GB2312"/>
                <w:color w:val="000000"/>
                <w:sz w:val="28"/>
                <w:szCs w:val="32"/>
              </w:rPr>
            </w:pPr>
            <w:r>
              <w:rPr>
                <w:rFonts w:hint="eastAsia" w:ascii="Times New Roman" w:hAnsi="Times New Roman" w:eastAsia="CESI仿宋-GB2312" w:cs="Times New Roman"/>
                <w:color w:val="000000"/>
                <w:kern w:val="0"/>
                <w:sz w:val="28"/>
                <w:szCs w:val="32"/>
                <w:lang w:val="en-US" w:eastAsia="zh-CN" w:bidi="ar-SA"/>
              </w:rPr>
              <w:t>无</w:t>
            </w:r>
          </w:p>
        </w:tc>
        <w:tc>
          <w:tcPr>
            <w:tcW w:w="734" w:type="pct"/>
            <w:noWrap w:val="0"/>
            <w:vAlign w:val="center"/>
          </w:tcPr>
          <w:p w14:paraId="7A6DB65B">
            <w:pPr>
              <w:adjustRightInd w:val="0"/>
              <w:snapToGrid w:val="0"/>
              <w:spacing w:line="360" w:lineRule="exact"/>
              <w:jc w:val="distribute"/>
              <w:rPr>
                <w:rFonts w:ascii="Times New Roman" w:hAnsi="Times New Roman" w:eastAsia="CESI仿宋-GB2312"/>
                <w:color w:val="000000"/>
                <w:sz w:val="28"/>
                <w:szCs w:val="32"/>
              </w:rPr>
            </w:pPr>
            <w:r>
              <w:rPr>
                <w:rFonts w:ascii="Times New Roman" w:hAnsi="Times New Roman" w:eastAsia="CESI仿宋-GB2312"/>
                <w:color w:val="000000"/>
                <w:sz w:val="28"/>
                <w:szCs w:val="32"/>
              </w:rPr>
              <w:t>被代替</w:t>
            </w:r>
          </w:p>
          <w:p w14:paraId="277836EF">
            <w:pPr>
              <w:adjustRightInd w:val="0"/>
              <w:snapToGrid w:val="0"/>
              <w:spacing w:line="360" w:lineRule="exact"/>
              <w:rPr>
                <w:rFonts w:ascii="Times New Roman" w:hAnsi="Times New Roman" w:eastAsia="CESI仿宋-GB2312"/>
                <w:color w:val="000000"/>
                <w:sz w:val="28"/>
                <w:szCs w:val="32"/>
              </w:rPr>
            </w:pPr>
            <w:r>
              <w:rPr>
                <w:rFonts w:ascii="Times New Roman" w:hAnsi="Times New Roman" w:eastAsia="CESI仿宋-GB2312"/>
                <w:color w:val="000000"/>
                <w:sz w:val="28"/>
                <w:szCs w:val="32"/>
              </w:rPr>
              <w:t>标准编号</w:t>
            </w:r>
          </w:p>
        </w:tc>
        <w:tc>
          <w:tcPr>
            <w:tcW w:w="1795" w:type="pct"/>
            <w:noWrap w:val="0"/>
            <w:vAlign w:val="center"/>
          </w:tcPr>
          <w:p w14:paraId="729F5C36">
            <w:pPr>
              <w:adjustRightInd w:val="0"/>
              <w:snapToGrid w:val="0"/>
              <w:spacing w:line="360" w:lineRule="exact"/>
              <w:jc w:val="center"/>
              <w:rPr>
                <w:rFonts w:ascii="Times New Roman" w:hAnsi="Times New Roman" w:eastAsia="CESI仿宋-GB2312"/>
                <w:color w:val="000000"/>
                <w:sz w:val="28"/>
                <w:szCs w:val="32"/>
              </w:rPr>
            </w:pPr>
            <w:r>
              <w:rPr>
                <w:rFonts w:ascii="Times New Roman" w:hAnsi="Times New Roman" w:eastAsia="CESI仿宋-GB2312"/>
                <w:color w:val="000000"/>
                <w:sz w:val="28"/>
                <w:szCs w:val="32"/>
              </w:rPr>
              <w:t>无</w:t>
            </w:r>
          </w:p>
        </w:tc>
      </w:tr>
      <w:tr w14:paraId="6E333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5" w:hRule="atLeast"/>
          <w:jc w:val="center"/>
        </w:trPr>
        <w:tc>
          <w:tcPr>
            <w:tcW w:w="1105" w:type="pct"/>
            <w:noWrap w:val="0"/>
            <w:vAlign w:val="center"/>
          </w:tcPr>
          <w:p w14:paraId="3C5C3713">
            <w:pPr>
              <w:adjustRightInd w:val="0"/>
              <w:snapToGrid w:val="0"/>
              <w:spacing w:line="360" w:lineRule="exact"/>
              <w:jc w:val="distribute"/>
              <w:rPr>
                <w:rFonts w:ascii="Times New Roman" w:hAnsi="Times New Roman" w:eastAsia="CESI仿宋-GB2312"/>
                <w:color w:val="000000"/>
                <w:sz w:val="28"/>
                <w:szCs w:val="32"/>
              </w:rPr>
            </w:pPr>
            <w:r>
              <w:rPr>
                <w:rFonts w:ascii="Times New Roman" w:hAnsi="Times New Roman" w:eastAsia="CESI仿宋-GB2312"/>
                <w:color w:val="000000"/>
                <w:sz w:val="28"/>
                <w:szCs w:val="32"/>
              </w:rPr>
              <w:t>起草单位</w:t>
            </w:r>
          </w:p>
          <w:p w14:paraId="3B73B001">
            <w:pPr>
              <w:adjustRightInd w:val="0"/>
              <w:snapToGrid w:val="0"/>
              <w:spacing w:line="360" w:lineRule="exact"/>
              <w:jc w:val="distribute"/>
              <w:rPr>
                <w:rFonts w:ascii="Times New Roman" w:hAnsi="Times New Roman" w:eastAsia="CESI仿宋-GB2312"/>
                <w:color w:val="000000"/>
                <w:sz w:val="28"/>
                <w:szCs w:val="32"/>
              </w:rPr>
            </w:pPr>
            <w:r>
              <w:rPr>
                <w:rFonts w:ascii="Times New Roman" w:hAnsi="Times New Roman" w:eastAsia="CESI仿宋-GB2312"/>
                <w:color w:val="000000"/>
                <w:sz w:val="28"/>
                <w:szCs w:val="32"/>
              </w:rPr>
              <w:t>（盖章）</w:t>
            </w:r>
          </w:p>
        </w:tc>
        <w:tc>
          <w:tcPr>
            <w:tcW w:w="3894" w:type="pct"/>
            <w:gridSpan w:val="3"/>
            <w:noWrap w:val="0"/>
            <w:vAlign w:val="center"/>
          </w:tcPr>
          <w:p w14:paraId="33F4ABBA">
            <w:pPr>
              <w:keepNext w:val="0"/>
              <w:keepLines w:val="0"/>
              <w:pageBreakBefore w:val="0"/>
              <w:widowControl w:val="0"/>
              <w:kinsoku/>
              <w:wordWrap/>
              <w:overflowPunct/>
              <w:topLinePunct w:val="0"/>
              <w:autoSpaceDE/>
              <w:autoSpaceDN/>
              <w:bidi w:val="0"/>
              <w:adjustRightInd/>
              <w:snapToGrid/>
              <w:spacing w:line="440" w:lineRule="exact"/>
              <w:ind w:left="210" w:leftChars="100"/>
              <w:textAlignment w:val="auto"/>
              <w:rPr>
                <w:rFonts w:hint="default" w:ascii="Times New Roman" w:hAnsi="Times New Roman" w:eastAsia="仿宋_GB2312" w:cs="Times New Roman"/>
                <w:color w:val="000000"/>
                <w:sz w:val="28"/>
                <w:szCs w:val="28"/>
              </w:rPr>
            </w:pPr>
            <w:r>
              <w:rPr>
                <w:rFonts w:hint="default" w:ascii="Times New Roman" w:hAnsi="Times New Roman" w:eastAsia="仿宋_GB2312" w:cs="Times New Roman"/>
                <w:color w:val="000000"/>
                <w:sz w:val="28"/>
                <w:szCs w:val="28"/>
              </w:rPr>
              <w:t>湖北省生态环境监测中心站</w:t>
            </w:r>
          </w:p>
          <w:p w14:paraId="4F9D49FA">
            <w:pPr>
              <w:keepNext w:val="0"/>
              <w:keepLines w:val="0"/>
              <w:pageBreakBefore w:val="0"/>
              <w:widowControl w:val="0"/>
              <w:kinsoku/>
              <w:wordWrap/>
              <w:overflowPunct/>
              <w:topLinePunct w:val="0"/>
              <w:autoSpaceDE/>
              <w:autoSpaceDN/>
              <w:bidi w:val="0"/>
              <w:adjustRightInd/>
              <w:snapToGrid/>
              <w:spacing w:line="440" w:lineRule="exact"/>
              <w:ind w:left="210" w:leftChars="100"/>
              <w:textAlignment w:val="auto"/>
              <w:rPr>
                <w:rFonts w:hint="default" w:ascii="Times New Roman" w:hAnsi="Times New Roman" w:eastAsia="仿宋_GB2312" w:cs="Times New Roman"/>
                <w:color w:val="000000"/>
                <w:sz w:val="28"/>
                <w:szCs w:val="28"/>
              </w:rPr>
            </w:pPr>
            <w:r>
              <w:rPr>
                <w:rFonts w:hint="default" w:ascii="Times New Roman" w:hAnsi="Times New Roman" w:eastAsia="仿宋_GB2312" w:cs="Times New Roman"/>
                <w:color w:val="000000"/>
                <w:sz w:val="28"/>
                <w:szCs w:val="28"/>
              </w:rPr>
              <w:t>湖北省生态环境厅</w:t>
            </w:r>
            <w:r>
              <w:rPr>
                <w:rFonts w:hint="eastAsia" w:ascii="Times New Roman" w:hAnsi="Times New Roman" w:eastAsia="仿宋_GB2312" w:cs="Times New Roman"/>
                <w:color w:val="000000"/>
                <w:sz w:val="28"/>
                <w:szCs w:val="28"/>
                <w:lang w:val="en-US" w:eastAsia="zh-CN"/>
              </w:rPr>
              <w:t>荆州</w:t>
            </w:r>
            <w:r>
              <w:rPr>
                <w:rFonts w:hint="default" w:ascii="Times New Roman" w:hAnsi="Times New Roman" w:eastAsia="仿宋_GB2312" w:cs="Times New Roman"/>
                <w:color w:val="000000"/>
                <w:sz w:val="28"/>
                <w:szCs w:val="28"/>
              </w:rPr>
              <w:t>生态环境监测中心</w:t>
            </w:r>
          </w:p>
          <w:p w14:paraId="6E92D5DC">
            <w:pPr>
              <w:keepNext w:val="0"/>
              <w:keepLines w:val="0"/>
              <w:pageBreakBefore w:val="0"/>
              <w:widowControl w:val="0"/>
              <w:kinsoku/>
              <w:wordWrap/>
              <w:overflowPunct/>
              <w:topLinePunct w:val="0"/>
              <w:autoSpaceDE/>
              <w:autoSpaceDN/>
              <w:bidi w:val="0"/>
              <w:adjustRightInd/>
              <w:snapToGrid/>
              <w:spacing w:line="440" w:lineRule="exact"/>
              <w:ind w:left="210" w:leftChars="100"/>
              <w:textAlignment w:val="auto"/>
              <w:rPr>
                <w:rFonts w:hint="default" w:ascii="Times New Roman" w:hAnsi="Times New Roman" w:eastAsia="仿宋_GB2312" w:cs="Times New Roman"/>
                <w:color w:val="000000"/>
                <w:sz w:val="28"/>
                <w:szCs w:val="28"/>
              </w:rPr>
            </w:pPr>
            <w:r>
              <w:rPr>
                <w:rFonts w:hint="default" w:ascii="Times New Roman" w:hAnsi="Times New Roman" w:eastAsia="仿宋_GB2312" w:cs="Times New Roman"/>
                <w:color w:val="000000"/>
                <w:sz w:val="28"/>
                <w:szCs w:val="28"/>
              </w:rPr>
              <w:t>湖北省生态环境厅</w:t>
            </w:r>
            <w:r>
              <w:rPr>
                <w:rFonts w:hint="eastAsia" w:ascii="Times New Roman" w:hAnsi="Times New Roman" w:eastAsia="仿宋_GB2312" w:cs="Times New Roman"/>
                <w:color w:val="000000"/>
                <w:sz w:val="28"/>
                <w:szCs w:val="28"/>
                <w:lang w:val="en-US" w:eastAsia="zh-CN"/>
              </w:rPr>
              <w:t>武汉</w:t>
            </w:r>
            <w:r>
              <w:rPr>
                <w:rFonts w:hint="default" w:ascii="Times New Roman" w:hAnsi="Times New Roman" w:eastAsia="仿宋_GB2312" w:cs="Times New Roman"/>
                <w:color w:val="000000"/>
                <w:sz w:val="28"/>
                <w:szCs w:val="28"/>
              </w:rPr>
              <w:t>生态环境监测中心</w:t>
            </w:r>
          </w:p>
          <w:p w14:paraId="453E0C97">
            <w:pPr>
              <w:keepNext w:val="0"/>
              <w:keepLines w:val="0"/>
              <w:pageBreakBefore w:val="0"/>
              <w:widowControl w:val="0"/>
              <w:kinsoku/>
              <w:wordWrap/>
              <w:overflowPunct/>
              <w:topLinePunct w:val="0"/>
              <w:autoSpaceDE/>
              <w:autoSpaceDN/>
              <w:bidi w:val="0"/>
              <w:adjustRightInd/>
              <w:snapToGrid/>
              <w:spacing w:line="440" w:lineRule="exact"/>
              <w:ind w:left="210" w:leftChars="100"/>
              <w:textAlignment w:val="auto"/>
              <w:rPr>
                <w:rFonts w:hint="eastAsia" w:ascii="Times New Roman" w:hAnsi="Times New Roman" w:eastAsia="仿宋_GB2312" w:cs="Times New Roman"/>
                <w:color w:val="000000"/>
                <w:sz w:val="28"/>
                <w:szCs w:val="28"/>
              </w:rPr>
            </w:pPr>
            <w:r>
              <w:rPr>
                <w:rFonts w:hint="eastAsia" w:ascii="Times New Roman" w:hAnsi="Times New Roman" w:eastAsia="仿宋_GB2312" w:cs="Times New Roman"/>
                <w:color w:val="000000"/>
                <w:sz w:val="28"/>
                <w:szCs w:val="28"/>
              </w:rPr>
              <w:t>湖北省标准化与质量研究院</w:t>
            </w:r>
          </w:p>
          <w:p w14:paraId="25D92256">
            <w:pPr>
              <w:keepNext w:val="0"/>
              <w:keepLines w:val="0"/>
              <w:pageBreakBefore w:val="0"/>
              <w:widowControl w:val="0"/>
              <w:kinsoku/>
              <w:wordWrap/>
              <w:overflowPunct/>
              <w:topLinePunct w:val="0"/>
              <w:autoSpaceDE/>
              <w:autoSpaceDN/>
              <w:bidi w:val="0"/>
              <w:adjustRightInd/>
              <w:snapToGrid/>
              <w:spacing w:line="440" w:lineRule="exact"/>
              <w:ind w:left="210" w:leftChars="100"/>
              <w:textAlignment w:val="auto"/>
              <w:rPr>
                <w:rFonts w:hint="default" w:ascii="Times New Roman" w:hAnsi="Times New Roman" w:eastAsia="仿宋_GB2312" w:cs="Times New Roman"/>
                <w:color w:val="000000"/>
                <w:sz w:val="28"/>
                <w:szCs w:val="28"/>
                <w:lang w:val="en-US" w:eastAsia="zh-CN"/>
              </w:rPr>
            </w:pPr>
            <w:r>
              <w:rPr>
                <w:rFonts w:hint="eastAsia" w:ascii="Times New Roman" w:hAnsi="Times New Roman" w:eastAsia="仿宋_GB2312" w:cs="Times New Roman"/>
                <w:color w:val="000000"/>
                <w:sz w:val="28"/>
                <w:szCs w:val="28"/>
                <w:lang w:val="en-US" w:eastAsia="zh-CN"/>
              </w:rPr>
              <w:t>湖北省市场监督管理宣传教育中心</w:t>
            </w:r>
          </w:p>
          <w:p w14:paraId="5A5A3815">
            <w:pPr>
              <w:keepNext w:val="0"/>
              <w:keepLines w:val="0"/>
              <w:pageBreakBefore w:val="0"/>
              <w:widowControl w:val="0"/>
              <w:kinsoku/>
              <w:wordWrap/>
              <w:overflowPunct/>
              <w:topLinePunct w:val="0"/>
              <w:autoSpaceDE/>
              <w:autoSpaceDN/>
              <w:bidi w:val="0"/>
              <w:adjustRightInd/>
              <w:snapToGrid/>
              <w:spacing w:line="440" w:lineRule="exact"/>
              <w:ind w:left="210" w:leftChars="100"/>
              <w:textAlignment w:val="auto"/>
              <w:rPr>
                <w:rFonts w:hint="default" w:ascii="Times New Roman" w:hAnsi="Times New Roman" w:eastAsia="仿宋_GB2312"/>
                <w:sz w:val="24"/>
                <w:szCs w:val="20"/>
                <w:lang w:val="en-US" w:eastAsia="zh-CN"/>
              </w:rPr>
            </w:pPr>
            <w:r>
              <w:rPr>
                <w:rFonts w:hint="eastAsia" w:ascii="Times New Roman" w:hAnsi="Times New Roman" w:eastAsia="仿宋_GB2312" w:cs="Times New Roman"/>
                <w:color w:val="000000"/>
                <w:sz w:val="28"/>
                <w:szCs w:val="28"/>
                <w:lang w:val="en-US" w:eastAsia="zh-CN"/>
              </w:rPr>
              <w:t>武汉市宇驰检测技术有限公司</w:t>
            </w:r>
          </w:p>
        </w:tc>
      </w:tr>
      <w:tr w14:paraId="782A9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4"/>
            <w:noWrap w:val="0"/>
            <w:vAlign w:val="top"/>
          </w:tcPr>
          <w:p w14:paraId="32A3CF63">
            <w:pPr>
              <w:keepNext w:val="0"/>
              <w:keepLines w:val="0"/>
              <w:pageBreakBefore w:val="0"/>
              <w:widowControl w:val="0"/>
              <w:numPr>
                <w:ilvl w:val="0"/>
                <w:numId w:val="2"/>
              </w:numPr>
              <w:kinsoku/>
              <w:wordWrap/>
              <w:overflowPunct/>
              <w:topLinePunct w:val="0"/>
              <w:autoSpaceDE/>
              <w:autoSpaceDN/>
              <w:bidi w:val="0"/>
              <w:adjustRightInd w:val="0"/>
              <w:snapToGrid w:val="0"/>
              <w:spacing w:line="520" w:lineRule="exact"/>
              <w:textAlignment w:val="auto"/>
              <w:rPr>
                <w:rFonts w:hint="default" w:ascii="Times New Roman" w:hAnsi="Times New Roman" w:eastAsia="CESI仿宋-GB2312" w:cs="Times New Roman"/>
                <w:color w:val="000000"/>
                <w:kern w:val="0"/>
                <w:sz w:val="28"/>
                <w:szCs w:val="32"/>
                <w:lang w:val="en-US" w:eastAsia="zh-CN" w:bidi="ar-SA"/>
              </w:rPr>
            </w:pPr>
            <w:r>
              <w:rPr>
                <w:rFonts w:hint="default" w:ascii="Times New Roman" w:hAnsi="Times New Roman" w:eastAsia="CESI仿宋-GB2312" w:cs="Times New Roman"/>
                <w:color w:val="000000"/>
                <w:kern w:val="0"/>
                <w:sz w:val="28"/>
                <w:szCs w:val="32"/>
                <w:lang w:val="en-US" w:eastAsia="zh-CN" w:bidi="ar-SA"/>
              </w:rPr>
              <w:t>项目简介</w:t>
            </w:r>
          </w:p>
          <w:p w14:paraId="6B6AA132">
            <w:pPr>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rPr>
                <w:rFonts w:hint="default" w:ascii="Times New Roman" w:hAnsi="Times New Roman" w:eastAsia="仿宋_GB2312" w:cs="Times New Roman"/>
                <w:b/>
                <w:bCs/>
                <w:sz w:val="24"/>
                <w:szCs w:val="28"/>
                <w:lang w:val="en"/>
              </w:rPr>
            </w:pPr>
            <w:r>
              <w:rPr>
                <w:rFonts w:hint="default" w:ascii="Times New Roman" w:hAnsi="Times New Roman" w:eastAsia="仿宋_GB2312" w:cs="Times New Roman"/>
                <w:b/>
                <w:bCs/>
                <w:sz w:val="24"/>
                <w:szCs w:val="28"/>
                <w:lang w:val="en-US" w:eastAsia="zh-CN"/>
              </w:rPr>
              <w:t xml:space="preserve">1.1 </w:t>
            </w:r>
            <w:r>
              <w:rPr>
                <w:rFonts w:hint="default" w:ascii="Times New Roman" w:hAnsi="Times New Roman" w:eastAsia="仿宋_GB2312" w:cs="Times New Roman"/>
                <w:b/>
                <w:bCs/>
                <w:sz w:val="24"/>
                <w:szCs w:val="28"/>
                <w:lang w:val="en"/>
              </w:rPr>
              <w:t>研究背景</w:t>
            </w:r>
          </w:p>
          <w:p w14:paraId="18EE494D">
            <w:pPr>
              <w:spacing w:line="400" w:lineRule="atLeast"/>
              <w:ind w:firstLine="480" w:firstLineChars="200"/>
              <w:rPr>
                <w:rFonts w:hint="eastAsia" w:ascii="仿宋_GB2312" w:hAnsi="Calibri" w:eastAsia="仿宋_GB2312"/>
                <w:color w:val="000000"/>
                <w:sz w:val="24"/>
              </w:rPr>
            </w:pPr>
            <w:r>
              <w:rPr>
                <w:rFonts w:hint="eastAsia" w:ascii="仿宋_GB2312" w:hAnsi="Calibri" w:eastAsia="仿宋_GB2312"/>
                <w:color w:val="000000"/>
                <w:sz w:val="24"/>
              </w:rPr>
              <w:t>安全问题是所有工作的底线，安全问题无法保证任何的工作都无法正常开展。安全问题无论何时都是各级政府最为关注的问题。同时安全问题一直都是考核各级单位履责情况最重要的指标。自党的十八大以来，习近平总书记就作出过一系列重要指示，深刻阐述了安全生产的重要意义、思想理念、方针政策和工作要求，强调必须坚守发展决不能以牺牲安全为代价这条不可逾越的红线，明确要求"党政同责、一岗双责、齐抓共管、失职追责"。</w:t>
            </w:r>
          </w:p>
          <w:p w14:paraId="42C8DE7C">
            <w:pPr>
              <w:pStyle w:val="3"/>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Times New Roman" w:hAnsi="Times New Roman" w:cs="Times New Roman"/>
                <w:lang w:val="en-US" w:eastAsia="zh-CN"/>
              </w:rPr>
            </w:pPr>
            <w:r>
              <w:rPr>
                <w:rFonts w:hint="eastAsia" w:ascii="仿宋_GB2312" w:hAnsi="Calibri" w:eastAsia="仿宋_GB2312"/>
                <w:color w:val="000000"/>
                <w:sz w:val="24"/>
              </w:rPr>
              <w:t>目前来看，在实际的生态环境监测工作过程中存在着一定的安全风险，既影响相关工作人员身心健康，也会导致生态环境监测工作的质量不够理想。所以，在当代的生态环境监测工作过程中，需要意识到现存的诸多安全风险，并且积极主动地进行分析和研究，采取对应的防控措施，从而提升工作质量、工作效率，对于国内生态环境的可持续性发展是极为重要的。目前已发布的国家或地方标准尚未见专门针对于生态环境监测机构在不同监测场景或监测类型下的安全管理技术规范，加上生态环境保护工作对生态环境监测的需求日益增长,生态环境监测工作不断深入,业务范围进一步拓展,这导致从业人员在监测工作中的安全隐患有所增加，亟待采取措施加以改进,有效解决环境监测从业人员在不同监测场景或监测类别（如现场、实验室、自动、应急</w:t>
            </w:r>
            <w:r>
              <w:rPr>
                <w:rFonts w:hint="eastAsia" w:ascii="仿宋_GB2312" w:hAnsi="Calibri"/>
                <w:color w:val="000000"/>
                <w:sz w:val="24"/>
                <w:lang w:eastAsia="zh-CN"/>
              </w:rPr>
              <w:t>、</w:t>
            </w:r>
            <w:r>
              <w:rPr>
                <w:rFonts w:hint="eastAsia" w:ascii="仿宋_GB2312" w:hAnsi="Calibri"/>
                <w:color w:val="000000"/>
                <w:sz w:val="24"/>
                <w:lang w:val="en-US" w:eastAsia="zh-CN"/>
              </w:rPr>
              <w:t>辐射</w:t>
            </w:r>
            <w:r>
              <w:rPr>
                <w:rFonts w:hint="eastAsia" w:ascii="仿宋_GB2312" w:hAnsi="Calibri" w:eastAsia="仿宋_GB2312"/>
                <w:color w:val="000000"/>
                <w:sz w:val="24"/>
              </w:rPr>
              <w:t>监测）情形下的职业安全问题。同时许多监测任务都是聘请社会化机构进行协助，社会化机构水平和资质良莠不齐，如今较为分散的安全管理条例很难对其进行指导，部分安全问题并没有引起重视，如果忽视很容易引发重大安全事故。因此制定专门的技术文件有针对性的规范和指导我省生态环境监测机构安全生产是十分必要的，该</w:t>
            </w:r>
            <w:r>
              <w:rPr>
                <w:rFonts w:hint="eastAsia" w:ascii="仿宋_GB2312" w:hAnsi="Calibri"/>
                <w:color w:val="000000"/>
                <w:sz w:val="24"/>
                <w:lang w:val="en-US" w:eastAsia="zh-CN"/>
              </w:rPr>
              <w:t>安全技术规范</w:t>
            </w:r>
            <w:r>
              <w:rPr>
                <w:rFonts w:hint="eastAsia" w:ascii="仿宋_GB2312" w:hAnsi="Calibri" w:eastAsia="仿宋_GB2312"/>
                <w:color w:val="000000"/>
                <w:sz w:val="24"/>
              </w:rPr>
              <w:t>将进一步完善安全管理漏洞，提高安全管理质量，确保整个监测体系安全</w:t>
            </w:r>
            <w:r>
              <w:rPr>
                <w:rFonts w:hint="eastAsia" w:ascii="仿宋_GB2312" w:hAnsi="Calibri"/>
                <w:color w:val="000000"/>
                <w:sz w:val="24"/>
                <w:lang w:val="en-US" w:eastAsia="zh-CN"/>
              </w:rPr>
              <w:t>运行</w:t>
            </w:r>
            <w:r>
              <w:rPr>
                <w:rFonts w:hint="eastAsia" w:ascii="仿宋_GB2312" w:hAnsi="Calibri" w:eastAsia="仿宋_GB2312"/>
                <w:color w:val="000000"/>
                <w:sz w:val="24"/>
              </w:rPr>
              <w:t>。</w:t>
            </w:r>
          </w:p>
          <w:p w14:paraId="1369F5A3">
            <w:pPr>
              <w:pStyle w:val="3"/>
              <w:keepNext w:val="0"/>
              <w:keepLines w:val="0"/>
              <w:pageBreakBefore w:val="0"/>
              <w:widowControl w:val="0"/>
              <w:kinsoku/>
              <w:wordWrap/>
              <w:overflowPunct/>
              <w:topLinePunct w:val="0"/>
              <w:autoSpaceDE/>
              <w:autoSpaceDN/>
              <w:bidi w:val="0"/>
              <w:adjustRightInd/>
              <w:snapToGrid/>
              <w:spacing w:line="440" w:lineRule="exact"/>
              <w:ind w:left="0" w:leftChars="0" w:firstLine="0" w:firstLineChars="0"/>
              <w:textAlignment w:val="auto"/>
              <w:rPr>
                <w:rFonts w:hint="default" w:eastAsia="仿宋_GB2312"/>
                <w:lang w:val="en-US" w:eastAsia="zh-CN"/>
              </w:rPr>
            </w:pPr>
            <w:r>
              <w:rPr>
                <w:rFonts w:hint="default" w:ascii="Times New Roman" w:hAnsi="Times New Roman" w:eastAsia="仿宋_GB2312" w:cs="Times New Roman"/>
                <w:b/>
                <w:bCs/>
                <w:sz w:val="24"/>
                <w:szCs w:val="28"/>
                <w:lang w:val="en-US" w:eastAsia="zh-CN"/>
              </w:rPr>
              <w:t>1.</w:t>
            </w:r>
            <w:r>
              <w:rPr>
                <w:rFonts w:hint="eastAsia" w:cs="Times New Roman"/>
                <w:b/>
                <w:bCs/>
                <w:sz w:val="24"/>
                <w:szCs w:val="28"/>
                <w:lang w:val="en-US" w:eastAsia="zh-CN"/>
              </w:rPr>
              <w:t>2</w:t>
            </w:r>
            <w:r>
              <w:rPr>
                <w:rFonts w:hint="default" w:ascii="Times New Roman" w:hAnsi="Times New Roman" w:eastAsia="仿宋_GB2312" w:cs="Times New Roman"/>
                <w:b/>
                <w:bCs/>
                <w:sz w:val="24"/>
                <w:szCs w:val="28"/>
                <w:lang w:val="en-US" w:eastAsia="zh-CN"/>
              </w:rPr>
              <w:t xml:space="preserve"> </w:t>
            </w:r>
            <w:r>
              <w:rPr>
                <w:rFonts w:hint="eastAsia" w:cs="Times New Roman"/>
                <w:b/>
                <w:bCs/>
                <w:sz w:val="24"/>
                <w:szCs w:val="28"/>
                <w:lang w:val="en-US" w:eastAsia="zh-CN"/>
              </w:rPr>
              <w:t>主要内容</w:t>
            </w:r>
          </w:p>
          <w:p w14:paraId="36C75BA4">
            <w:pPr>
              <w:pStyle w:val="3"/>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编制组本着科学性、先进性和可操作性为原则，基于</w:t>
            </w:r>
            <w:r>
              <w:rPr>
                <w:rFonts w:hint="eastAsia" w:ascii="仿宋_GB2312" w:hAnsi="Calibri" w:eastAsia="仿宋_GB2312"/>
                <w:color w:val="000000"/>
                <w:sz w:val="24"/>
              </w:rPr>
              <w:t>《检测实验室安全》</w:t>
            </w:r>
            <w:r>
              <w:rPr>
                <w:rFonts w:hint="eastAsia" w:ascii="Times New Roman" w:hAnsi="Times New Roman" w:eastAsia="仿宋_GB2312" w:cs="Times New Roman"/>
                <w:sz w:val="24"/>
                <w:szCs w:val="20"/>
              </w:rPr>
              <w:t>（GB/T</w:t>
            </w:r>
            <w:r>
              <w:rPr>
                <w:rFonts w:hint="eastAsia" w:cs="Times New Roman"/>
                <w:sz w:val="24"/>
                <w:szCs w:val="20"/>
                <w:lang w:val="en-US" w:eastAsia="zh-CN"/>
              </w:rPr>
              <w:t xml:space="preserve"> </w:t>
            </w:r>
            <w:r>
              <w:rPr>
                <w:rFonts w:hint="eastAsia" w:ascii="Times New Roman" w:hAnsi="Times New Roman" w:eastAsia="仿宋_GB2312" w:cs="Times New Roman"/>
                <w:sz w:val="24"/>
                <w:szCs w:val="20"/>
              </w:rPr>
              <w:t>27476所有部分）</w:t>
            </w:r>
            <w:r>
              <w:rPr>
                <w:rFonts w:hint="eastAsia" w:ascii="仿宋_GB2312" w:hAnsi="Calibri"/>
                <w:color w:val="000000"/>
                <w:sz w:val="24"/>
                <w:lang w:eastAsia="zh-CN"/>
              </w:rPr>
              <w:t>、《</w:t>
            </w:r>
            <w:r>
              <w:rPr>
                <w:rFonts w:hint="eastAsia" w:ascii="仿宋_GB2312" w:hAnsi="Calibri"/>
                <w:color w:val="000000"/>
                <w:sz w:val="24"/>
                <w:lang w:val="en-US" w:eastAsia="zh-CN"/>
              </w:rPr>
              <w:t>生产经营单位生产安全事故应急预案编制指导</w:t>
            </w:r>
            <w:r>
              <w:rPr>
                <w:rFonts w:hint="eastAsia" w:ascii="仿宋_GB2312" w:hAnsi="Calibri"/>
                <w:color w:val="000000"/>
                <w:sz w:val="24"/>
                <w:lang w:eastAsia="zh-CN"/>
              </w:rPr>
              <w:t>》</w:t>
            </w:r>
            <w:r>
              <w:rPr>
                <w:rFonts w:hint="eastAsia" w:ascii="Times New Roman" w:hAnsi="Times New Roman" w:eastAsia="仿宋_GB2312" w:cs="Times New Roman"/>
                <w:sz w:val="24"/>
                <w:szCs w:val="20"/>
                <w:lang w:eastAsia="zh-CN"/>
              </w:rPr>
              <w:t>（</w:t>
            </w:r>
            <w:r>
              <w:rPr>
                <w:rFonts w:hint="eastAsia" w:ascii="Times New Roman" w:hAnsi="Times New Roman" w:eastAsia="仿宋_GB2312" w:cs="Times New Roman"/>
                <w:sz w:val="24"/>
                <w:szCs w:val="20"/>
                <w:lang w:val="en-US" w:eastAsia="zh-CN"/>
              </w:rPr>
              <w:t>GB/T 29639</w:t>
            </w:r>
            <w:r>
              <w:rPr>
                <w:rFonts w:hint="eastAsia" w:ascii="Times New Roman" w:hAnsi="Times New Roman" w:eastAsia="仿宋_GB2312" w:cs="Times New Roman"/>
                <w:sz w:val="24"/>
                <w:szCs w:val="20"/>
                <w:lang w:eastAsia="zh-CN"/>
              </w:rPr>
              <w:t>）</w:t>
            </w:r>
            <w:r>
              <w:rPr>
                <w:rFonts w:hint="eastAsia" w:cs="Times New Roman"/>
                <w:sz w:val="24"/>
                <w:szCs w:val="20"/>
                <w:lang w:eastAsia="zh-CN"/>
              </w:rPr>
              <w:t>、《</w:t>
            </w:r>
            <w:r>
              <w:rPr>
                <w:rFonts w:hint="eastAsia" w:cs="Times New Roman"/>
                <w:sz w:val="24"/>
                <w:szCs w:val="20"/>
                <w:lang w:val="en-US" w:eastAsia="zh-CN"/>
              </w:rPr>
              <w:t>生产过程危险和有害因素分类与代码</w:t>
            </w:r>
            <w:r>
              <w:rPr>
                <w:rFonts w:hint="eastAsia" w:cs="Times New Roman"/>
                <w:sz w:val="24"/>
                <w:szCs w:val="20"/>
                <w:lang w:eastAsia="zh-CN"/>
              </w:rPr>
              <w:t>》（</w:t>
            </w:r>
            <w:r>
              <w:rPr>
                <w:rFonts w:hint="eastAsia" w:cs="Times New Roman"/>
                <w:sz w:val="24"/>
                <w:szCs w:val="20"/>
                <w:lang w:val="en-US" w:eastAsia="zh-CN"/>
              </w:rPr>
              <w:t>GB/T 13861</w:t>
            </w:r>
            <w:r>
              <w:rPr>
                <w:rFonts w:hint="eastAsia" w:cs="Times New Roman"/>
                <w:sz w:val="24"/>
                <w:szCs w:val="20"/>
                <w:lang w:eastAsia="zh-CN"/>
              </w:rPr>
              <w:t>）、《</w:t>
            </w:r>
            <w:r>
              <w:rPr>
                <w:rFonts w:hint="eastAsia" w:cs="Times New Roman"/>
                <w:sz w:val="24"/>
                <w:szCs w:val="20"/>
                <w:lang w:val="en-US" w:eastAsia="zh-CN"/>
              </w:rPr>
              <w:t>风险管理 风险评价技术</w:t>
            </w:r>
            <w:r>
              <w:rPr>
                <w:rFonts w:hint="eastAsia" w:cs="Times New Roman"/>
                <w:sz w:val="24"/>
                <w:szCs w:val="20"/>
                <w:lang w:eastAsia="zh-CN"/>
              </w:rPr>
              <w:t>》（</w:t>
            </w:r>
            <w:r>
              <w:rPr>
                <w:rFonts w:hint="eastAsia" w:cs="Times New Roman"/>
                <w:sz w:val="24"/>
                <w:szCs w:val="20"/>
                <w:lang w:val="en-US" w:eastAsia="zh-CN"/>
              </w:rPr>
              <w:t>GB/T 27921-2023</w:t>
            </w:r>
            <w:r>
              <w:rPr>
                <w:rFonts w:hint="eastAsia" w:cs="Times New Roman"/>
                <w:sz w:val="24"/>
                <w:szCs w:val="20"/>
                <w:lang w:eastAsia="zh-CN"/>
              </w:rPr>
              <w:t>）、</w:t>
            </w:r>
            <w:r>
              <w:rPr>
                <w:rFonts w:hint="eastAsia" w:ascii="仿宋_GB2312" w:hAnsi="Calibri" w:eastAsia="仿宋_GB2312"/>
                <w:color w:val="000000"/>
                <w:sz w:val="24"/>
              </w:rPr>
              <w:t>《危险化学品重大危险源辨识》</w:t>
            </w:r>
            <w:r>
              <w:rPr>
                <w:rFonts w:hint="eastAsia" w:ascii="Times New Roman" w:hAnsi="Times New Roman" w:eastAsia="仿宋_GB2312" w:cs="Times New Roman"/>
                <w:sz w:val="24"/>
                <w:szCs w:val="20"/>
              </w:rPr>
              <w:t>（GB 18218）</w:t>
            </w:r>
            <w:r>
              <w:rPr>
                <w:rFonts w:hint="eastAsia" w:cs="Times New Roman"/>
                <w:sz w:val="24"/>
                <w:szCs w:val="20"/>
                <w:lang w:val="en-US" w:eastAsia="zh-CN"/>
              </w:rPr>
              <w:t>等</w:t>
            </w:r>
            <w:r>
              <w:rPr>
                <w:rFonts w:hint="default" w:ascii="Times New Roman" w:hAnsi="Times New Roman" w:cs="Times New Roman"/>
                <w:color w:val="auto"/>
                <w:highlight w:val="none"/>
                <w:shd w:val="clear" w:color="auto" w:fill="auto"/>
                <w:lang w:val="en-US" w:eastAsia="zh-CN"/>
              </w:rPr>
              <w:t>标准</w:t>
            </w:r>
            <w:r>
              <w:rPr>
                <w:rFonts w:hint="default" w:ascii="Times New Roman" w:hAnsi="Times New Roman" w:eastAsia="仿宋_GB2312" w:cs="Times New Roman"/>
                <w:sz w:val="24"/>
                <w:szCs w:val="20"/>
              </w:rPr>
              <w:t>和《职业健康安全管理体系要求及使用指南》（GB/T 45001-2020/ISO 45001:2018）等管理要求和</w:t>
            </w:r>
            <w:r>
              <w:rPr>
                <w:rFonts w:hint="eastAsia" w:cs="Times New Roman"/>
                <w:sz w:val="24"/>
                <w:szCs w:val="20"/>
                <w:lang w:val="en-US" w:eastAsia="zh-CN"/>
              </w:rPr>
              <w:t>环境</w:t>
            </w:r>
            <w:r>
              <w:rPr>
                <w:rFonts w:hint="default" w:ascii="Times New Roman" w:hAnsi="Times New Roman" w:eastAsia="仿宋_GB2312" w:cs="Times New Roman"/>
                <w:sz w:val="24"/>
                <w:szCs w:val="20"/>
              </w:rPr>
              <w:t>监测相关技术规范要求</w:t>
            </w:r>
            <w:r>
              <w:rPr>
                <w:rFonts w:hint="default" w:ascii="Times New Roman" w:hAnsi="Times New Roman" w:cs="Times New Roman"/>
                <w:lang w:val="en-US" w:eastAsia="zh-CN"/>
              </w:rPr>
              <w:t>，</w:t>
            </w:r>
            <w:r>
              <w:rPr>
                <w:rFonts w:hint="default" w:ascii="Times New Roman" w:hAnsi="Times New Roman" w:cs="Times New Roman"/>
                <w:szCs w:val="24"/>
              </w:rPr>
              <w:t>根据我省</w:t>
            </w:r>
            <w:r>
              <w:rPr>
                <w:rFonts w:hint="eastAsia" w:cs="Times New Roman"/>
                <w:lang w:val="en-US" w:eastAsia="zh-CN"/>
              </w:rPr>
              <w:t>生态环境监测机构安全管理</w:t>
            </w:r>
            <w:r>
              <w:rPr>
                <w:rFonts w:hint="default" w:ascii="Times New Roman" w:hAnsi="Times New Roman" w:cs="Times New Roman"/>
                <w:szCs w:val="24"/>
              </w:rPr>
              <w:t>现状，结合我省</w:t>
            </w:r>
            <w:r>
              <w:rPr>
                <w:rFonts w:hint="default" w:ascii="Times New Roman" w:hAnsi="Times New Roman" w:cs="Times New Roman"/>
              </w:rPr>
              <w:t>环境</w:t>
            </w:r>
            <w:r>
              <w:rPr>
                <w:rFonts w:hint="eastAsia" w:cs="Times New Roman"/>
                <w:lang w:val="en-US" w:eastAsia="zh-CN"/>
              </w:rPr>
              <w:t>监测</w:t>
            </w:r>
            <w:r>
              <w:rPr>
                <w:rFonts w:hint="default" w:ascii="Times New Roman" w:hAnsi="Times New Roman" w:cs="Times New Roman"/>
                <w:szCs w:val="24"/>
              </w:rPr>
              <w:t>特点，对</w:t>
            </w:r>
            <w:r>
              <w:rPr>
                <w:rFonts w:hint="eastAsia" w:cs="Times New Roman"/>
                <w:szCs w:val="24"/>
                <w:lang w:val="en-US" w:eastAsia="zh-CN"/>
              </w:rPr>
              <w:t>现场监测、实验室监测、自动监测、应急监测、辐射监测</w:t>
            </w:r>
            <w:r>
              <w:rPr>
                <w:rFonts w:hint="default" w:ascii="Times New Roman" w:hAnsi="Times New Roman" w:cs="Times New Roman"/>
                <w:szCs w:val="24"/>
                <w:highlight w:val="none"/>
              </w:rPr>
              <w:t>的</w:t>
            </w:r>
            <w:r>
              <w:rPr>
                <w:rFonts w:hint="eastAsia" w:cs="Times New Roman"/>
                <w:szCs w:val="24"/>
                <w:lang w:val="en-US" w:eastAsia="zh-CN"/>
              </w:rPr>
              <w:t>危险源识别、风险评价和控制措施</w:t>
            </w:r>
            <w:r>
              <w:rPr>
                <w:rFonts w:hint="default" w:ascii="Times New Roman" w:hAnsi="Times New Roman" w:cs="Times New Roman"/>
                <w:szCs w:val="24"/>
                <w:lang w:val="en-US" w:eastAsia="zh-CN"/>
              </w:rPr>
              <w:t>等</w:t>
            </w:r>
            <w:r>
              <w:rPr>
                <w:rFonts w:hint="default" w:ascii="Times New Roman" w:hAnsi="Times New Roman" w:cs="Times New Roman"/>
                <w:szCs w:val="24"/>
              </w:rPr>
              <w:t>提出更加具体明确</w:t>
            </w:r>
            <w:r>
              <w:rPr>
                <w:rFonts w:hint="default" w:ascii="Times New Roman" w:hAnsi="Times New Roman" w:cs="Times New Roman"/>
                <w:szCs w:val="24"/>
                <w:lang w:val="en-US" w:eastAsia="zh-CN"/>
              </w:rPr>
              <w:t>的要求</w:t>
            </w:r>
            <w:r>
              <w:rPr>
                <w:rFonts w:hint="default" w:ascii="Times New Roman" w:hAnsi="Times New Roman" w:cs="Times New Roman"/>
                <w:szCs w:val="24"/>
              </w:rPr>
              <w:t>，充分考虑</w:t>
            </w:r>
            <w:r>
              <w:rPr>
                <w:rFonts w:hint="default" w:ascii="Times New Roman" w:hAnsi="Times New Roman" w:cs="Times New Roman"/>
                <w:szCs w:val="24"/>
                <w:lang w:val="en-US" w:eastAsia="zh-CN"/>
              </w:rPr>
              <w:t>对</w:t>
            </w:r>
            <w:r>
              <w:rPr>
                <w:rFonts w:hint="default" w:ascii="Times New Roman" w:hAnsi="Times New Roman" w:cs="Times New Roman"/>
                <w:szCs w:val="24"/>
              </w:rPr>
              <w:t>我省的适用性和推广</w:t>
            </w:r>
            <w:r>
              <w:rPr>
                <w:rFonts w:hint="default" w:ascii="Times New Roman" w:hAnsi="Times New Roman" w:cs="Times New Roman"/>
                <w:szCs w:val="24"/>
                <w:lang w:val="en-US" w:eastAsia="zh-CN"/>
              </w:rPr>
              <w:t>性</w:t>
            </w:r>
            <w:r>
              <w:rPr>
                <w:rFonts w:hint="default" w:ascii="Times New Roman" w:hAnsi="Times New Roman" w:cs="Times New Roman"/>
                <w:szCs w:val="24"/>
              </w:rPr>
              <w:t>特点，不断深入研究和完善，制定</w:t>
            </w:r>
            <w:r>
              <w:rPr>
                <w:rFonts w:hint="default" w:ascii="Times New Roman" w:hAnsi="Times New Roman" w:cs="Times New Roman"/>
                <w:szCs w:val="24"/>
                <w:lang w:val="en-US" w:eastAsia="zh-CN"/>
              </w:rPr>
              <w:t>技术规范</w:t>
            </w:r>
            <w:r>
              <w:rPr>
                <w:rFonts w:hint="default" w:ascii="Times New Roman" w:hAnsi="Times New Roman" w:cs="Times New Roman"/>
                <w:lang w:val="en-US" w:eastAsia="zh-CN"/>
              </w:rPr>
              <w:t>。</w:t>
            </w:r>
          </w:p>
          <w:p w14:paraId="05F080B4">
            <w:pPr>
              <w:pStyle w:val="3"/>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技术规范共分</w:t>
            </w:r>
            <w:r>
              <w:rPr>
                <w:rFonts w:hint="eastAsia" w:cs="Times New Roman"/>
                <w:lang w:val="en-US" w:eastAsia="zh-CN"/>
              </w:rPr>
              <w:t>13</w:t>
            </w:r>
            <w:r>
              <w:rPr>
                <w:rFonts w:hint="default" w:ascii="Times New Roman" w:hAnsi="Times New Roman" w:cs="Times New Roman"/>
                <w:lang w:val="en-US" w:eastAsia="zh-CN"/>
              </w:rPr>
              <w:t>个部分：</w:t>
            </w:r>
          </w:p>
          <w:p w14:paraId="251CE8FF">
            <w:pPr>
              <w:pStyle w:val="3"/>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第一部分 </w:t>
            </w:r>
            <w:r>
              <w:rPr>
                <w:rFonts w:hint="default" w:ascii="Times New Roman" w:hAnsi="Times New Roman" w:cs="Times New Roman"/>
                <w:highlight w:val="none"/>
                <w:lang w:val="en-US" w:eastAsia="zh-CN"/>
              </w:rPr>
              <w:t>范围。介绍适用范围。</w:t>
            </w:r>
          </w:p>
          <w:p w14:paraId="035E9170">
            <w:pPr>
              <w:pStyle w:val="3"/>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Times New Roman" w:hAnsi="Times New Roman" w:cs="Times New Roman"/>
                <w:highlight w:val="none"/>
                <w:lang w:val="en-US" w:eastAsia="zh-CN"/>
              </w:rPr>
            </w:pPr>
            <w:r>
              <w:rPr>
                <w:rFonts w:hint="default" w:ascii="Times New Roman" w:hAnsi="Times New Roman" w:cs="Times New Roman"/>
                <w:lang w:val="en-US" w:eastAsia="zh-CN"/>
              </w:rPr>
              <w:t>第</w:t>
            </w:r>
            <w:r>
              <w:rPr>
                <w:rFonts w:hint="default" w:ascii="Times New Roman" w:hAnsi="Times New Roman" w:cs="Times New Roman"/>
                <w:highlight w:val="none"/>
                <w:lang w:val="en-US" w:eastAsia="zh-CN"/>
              </w:rPr>
              <w:t>二部分 规范性引用文件。技术规范引用到的一些标准文本。</w:t>
            </w:r>
          </w:p>
          <w:p w14:paraId="1846F120">
            <w:pPr>
              <w:pStyle w:val="3"/>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第三部分 术语和定义。</w:t>
            </w:r>
          </w:p>
          <w:p w14:paraId="59AF3F6F">
            <w:pPr>
              <w:pStyle w:val="3"/>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 xml:space="preserve">第四部分 </w:t>
            </w:r>
            <w:r>
              <w:rPr>
                <w:rFonts w:hint="eastAsia" w:cs="Times New Roman"/>
                <w:highlight w:val="none"/>
                <w:lang w:val="en-US" w:eastAsia="zh-CN"/>
              </w:rPr>
              <w:t>机构</w:t>
            </w:r>
            <w:r>
              <w:rPr>
                <w:rFonts w:hint="default" w:ascii="Times New Roman" w:hAnsi="Times New Roman" w:cs="Times New Roman"/>
                <w:highlight w:val="none"/>
                <w:lang w:val="en-US" w:eastAsia="zh-CN"/>
              </w:rPr>
              <w:t>。</w:t>
            </w:r>
            <w:r>
              <w:rPr>
                <w:rFonts w:hint="eastAsia" w:cs="Times New Roman"/>
                <w:highlight w:val="none"/>
                <w:lang w:val="en-US" w:eastAsia="zh-CN"/>
              </w:rPr>
              <w:t>对机构的安全主体责任以及安全负责人和安全员进行规定</w:t>
            </w:r>
            <w:r>
              <w:rPr>
                <w:rFonts w:hint="default" w:ascii="Times New Roman" w:hAnsi="Times New Roman" w:cs="Times New Roman"/>
                <w:highlight w:val="none"/>
                <w:lang w:val="en-US" w:eastAsia="zh-CN"/>
              </w:rPr>
              <w:t>。</w:t>
            </w:r>
          </w:p>
          <w:p w14:paraId="23AFD2FD">
            <w:pPr>
              <w:pStyle w:val="3"/>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 xml:space="preserve">第五部分 </w:t>
            </w:r>
            <w:r>
              <w:rPr>
                <w:rFonts w:hint="eastAsia" w:cs="Times New Roman"/>
                <w:highlight w:val="none"/>
                <w:lang w:val="en-US" w:eastAsia="zh-CN"/>
              </w:rPr>
              <w:t>人员。对人员资格、人员安全意识、能力以及培训和指导提出要求</w:t>
            </w:r>
            <w:r>
              <w:rPr>
                <w:rFonts w:hint="default" w:ascii="Times New Roman" w:hAnsi="Times New Roman" w:cs="Times New Roman"/>
                <w:highlight w:val="none"/>
                <w:lang w:val="en-US" w:eastAsia="zh-CN"/>
              </w:rPr>
              <w:t>。</w:t>
            </w:r>
          </w:p>
          <w:p w14:paraId="74904E91">
            <w:pPr>
              <w:pStyle w:val="3"/>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 xml:space="preserve">第六部分 </w:t>
            </w:r>
            <w:r>
              <w:rPr>
                <w:rFonts w:hint="eastAsia" w:cs="Times New Roman"/>
                <w:highlight w:val="none"/>
                <w:lang w:val="en-US" w:eastAsia="zh-CN"/>
              </w:rPr>
              <w:t>场所环境</w:t>
            </w:r>
            <w:r>
              <w:rPr>
                <w:rFonts w:hint="default" w:ascii="Times New Roman" w:hAnsi="Times New Roman" w:cs="Times New Roman"/>
                <w:highlight w:val="none"/>
                <w:lang w:val="en-US" w:eastAsia="zh-CN"/>
              </w:rPr>
              <w:t>。对</w:t>
            </w:r>
            <w:r>
              <w:rPr>
                <w:rFonts w:hint="eastAsia" w:cs="Times New Roman"/>
                <w:highlight w:val="none"/>
                <w:lang w:val="en-US" w:eastAsia="zh-CN"/>
              </w:rPr>
              <w:t>场所环境进行规定</w:t>
            </w:r>
            <w:r>
              <w:rPr>
                <w:rFonts w:hint="default" w:ascii="Times New Roman" w:hAnsi="Times New Roman" w:cs="Times New Roman"/>
                <w:highlight w:val="none"/>
                <w:lang w:val="en-US" w:eastAsia="zh-CN"/>
              </w:rPr>
              <w:t>。</w:t>
            </w:r>
          </w:p>
          <w:p w14:paraId="2796E342">
            <w:pPr>
              <w:pStyle w:val="3"/>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 xml:space="preserve">第七部分 </w:t>
            </w:r>
            <w:r>
              <w:rPr>
                <w:rFonts w:hint="eastAsia" w:cs="Times New Roman"/>
                <w:highlight w:val="none"/>
                <w:lang w:val="en-US" w:eastAsia="zh-CN"/>
              </w:rPr>
              <w:t>设施设备</w:t>
            </w:r>
            <w:r>
              <w:rPr>
                <w:rFonts w:hint="default" w:ascii="Times New Roman" w:hAnsi="Times New Roman" w:cs="Times New Roman"/>
                <w:highlight w:val="none"/>
                <w:lang w:val="en-US" w:eastAsia="zh-CN"/>
              </w:rPr>
              <w:t>。</w:t>
            </w:r>
            <w:r>
              <w:rPr>
                <w:rFonts w:hint="eastAsia" w:cs="Times New Roman"/>
                <w:szCs w:val="24"/>
                <w:highlight w:val="none"/>
                <w:lang w:val="en-US" w:eastAsia="zh-CN"/>
              </w:rPr>
              <w:t>包含设施设备的安全要求</w:t>
            </w:r>
            <w:r>
              <w:rPr>
                <w:rFonts w:hint="default" w:ascii="Times New Roman" w:hAnsi="Times New Roman" w:eastAsia="仿宋_GB2312" w:cs="Times New Roman"/>
                <w:szCs w:val="24"/>
                <w:highlight w:val="none"/>
                <w:lang w:eastAsia="zh-CN"/>
              </w:rPr>
              <w:t>。</w:t>
            </w:r>
          </w:p>
          <w:p w14:paraId="1D66A726">
            <w:pPr>
              <w:pStyle w:val="3"/>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 xml:space="preserve">第八部分 </w:t>
            </w:r>
            <w:r>
              <w:rPr>
                <w:rFonts w:hint="eastAsia" w:cs="Times New Roman"/>
                <w:highlight w:val="none"/>
                <w:lang w:val="en-US" w:eastAsia="zh-CN"/>
              </w:rPr>
              <w:t>物料</w:t>
            </w:r>
            <w:r>
              <w:rPr>
                <w:rFonts w:hint="default" w:ascii="Times New Roman" w:hAnsi="Times New Roman" w:cs="Times New Roman"/>
                <w:highlight w:val="none"/>
                <w:lang w:val="en-US" w:eastAsia="zh-CN"/>
              </w:rPr>
              <w:t>。</w:t>
            </w:r>
          </w:p>
          <w:p w14:paraId="1C95D7C3">
            <w:pPr>
              <w:pStyle w:val="3"/>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 xml:space="preserve">第九部分 </w:t>
            </w:r>
            <w:r>
              <w:rPr>
                <w:rFonts w:hint="eastAsia" w:cs="Times New Roman"/>
                <w:lang w:val="en-US" w:eastAsia="zh-CN"/>
              </w:rPr>
              <w:t>危险源辨识</w:t>
            </w:r>
            <w:r>
              <w:rPr>
                <w:rFonts w:hint="default" w:ascii="Times New Roman" w:hAnsi="Times New Roman" w:cs="Times New Roman"/>
                <w:lang w:val="en-US" w:eastAsia="zh-CN"/>
              </w:rPr>
              <w:t>。</w:t>
            </w:r>
            <w:r>
              <w:rPr>
                <w:rFonts w:hint="eastAsia" w:cs="Times New Roman"/>
                <w:lang w:val="en-US" w:eastAsia="zh-CN"/>
              </w:rPr>
              <w:t>对危险源识别的方法、范围和确认进行规定。</w:t>
            </w:r>
          </w:p>
          <w:p w14:paraId="6A5262E0">
            <w:pPr>
              <w:pStyle w:val="3"/>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第十部分 </w:t>
            </w:r>
            <w:r>
              <w:rPr>
                <w:rFonts w:hint="eastAsia" w:cs="Times New Roman"/>
                <w:lang w:val="en-US" w:eastAsia="zh-CN"/>
              </w:rPr>
              <w:t>风险评价</w:t>
            </w:r>
            <w:r>
              <w:rPr>
                <w:rFonts w:hint="default" w:ascii="Times New Roman" w:hAnsi="Times New Roman" w:cs="Times New Roman"/>
                <w:lang w:val="en-US" w:eastAsia="zh-CN"/>
              </w:rPr>
              <w:t>。</w:t>
            </w:r>
            <w:r>
              <w:rPr>
                <w:rFonts w:hint="eastAsia" w:cs="Times New Roman"/>
                <w:lang w:val="en-US" w:eastAsia="zh-CN"/>
              </w:rPr>
              <w:t>明确评价内容，评价方法，风险等级确定</w:t>
            </w:r>
            <w:r>
              <w:rPr>
                <w:rFonts w:hint="default" w:ascii="Times New Roman" w:hAnsi="Times New Roman" w:cs="Times New Roman"/>
                <w:lang w:val="en-US" w:eastAsia="zh-CN"/>
              </w:rPr>
              <w:t>。</w:t>
            </w:r>
          </w:p>
          <w:p w14:paraId="59EAE2AB">
            <w:pPr>
              <w:pStyle w:val="3"/>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第十</w:t>
            </w:r>
            <w:r>
              <w:rPr>
                <w:rFonts w:hint="eastAsia" w:cs="Times New Roman"/>
                <w:lang w:val="en-US" w:eastAsia="zh-CN"/>
              </w:rPr>
              <w:t>一</w:t>
            </w:r>
            <w:r>
              <w:rPr>
                <w:rFonts w:hint="default" w:ascii="Times New Roman" w:hAnsi="Times New Roman" w:cs="Times New Roman"/>
                <w:lang w:val="en-US" w:eastAsia="zh-CN"/>
              </w:rPr>
              <w:t xml:space="preserve">部分 </w:t>
            </w:r>
            <w:r>
              <w:rPr>
                <w:rFonts w:hint="eastAsia" w:cs="Times New Roman"/>
                <w:lang w:val="en-US" w:eastAsia="zh-CN"/>
              </w:rPr>
              <w:t>控制措施</w:t>
            </w:r>
            <w:r>
              <w:rPr>
                <w:rFonts w:hint="default" w:ascii="Times New Roman" w:hAnsi="Times New Roman" w:cs="Times New Roman"/>
                <w:lang w:val="en-US" w:eastAsia="zh-CN"/>
              </w:rPr>
              <w:t>。</w:t>
            </w:r>
          </w:p>
          <w:p w14:paraId="19C4341B">
            <w:pPr>
              <w:pStyle w:val="3"/>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第十</w:t>
            </w:r>
            <w:r>
              <w:rPr>
                <w:rFonts w:hint="eastAsia" w:cs="Times New Roman"/>
                <w:lang w:val="en-US" w:eastAsia="zh-CN"/>
              </w:rPr>
              <w:t>二</w:t>
            </w:r>
            <w:r>
              <w:rPr>
                <w:rFonts w:hint="default" w:ascii="Times New Roman" w:hAnsi="Times New Roman" w:cs="Times New Roman"/>
                <w:lang w:val="en-US" w:eastAsia="zh-CN"/>
              </w:rPr>
              <w:t xml:space="preserve">部分 </w:t>
            </w:r>
            <w:r>
              <w:rPr>
                <w:rFonts w:hint="eastAsia" w:cs="Times New Roman"/>
                <w:lang w:val="en-US" w:eastAsia="zh-CN"/>
              </w:rPr>
              <w:t>报告与记录</w:t>
            </w:r>
            <w:r>
              <w:rPr>
                <w:rFonts w:hint="default" w:ascii="Times New Roman" w:hAnsi="Times New Roman" w:cs="Times New Roman"/>
                <w:lang w:val="en-US" w:eastAsia="zh-CN"/>
              </w:rPr>
              <w:t>。</w:t>
            </w:r>
          </w:p>
          <w:p w14:paraId="1CE7C840">
            <w:pPr>
              <w:pStyle w:val="3"/>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第十</w:t>
            </w:r>
            <w:r>
              <w:rPr>
                <w:rFonts w:hint="eastAsia" w:cs="Times New Roman"/>
                <w:lang w:val="en-US" w:eastAsia="zh-CN"/>
              </w:rPr>
              <w:t>三</w:t>
            </w:r>
            <w:r>
              <w:rPr>
                <w:rFonts w:hint="default" w:ascii="Times New Roman" w:hAnsi="Times New Roman" w:cs="Times New Roman"/>
                <w:lang w:val="en-US" w:eastAsia="zh-CN"/>
              </w:rPr>
              <w:t xml:space="preserve">部分 </w:t>
            </w:r>
            <w:r>
              <w:rPr>
                <w:rFonts w:hint="eastAsia" w:ascii="Times New Roman" w:hAnsi="Times New Roman" w:cs="Times New Roman"/>
                <w:szCs w:val="21"/>
                <w:lang w:val="en-US" w:eastAsia="zh-CN"/>
              </w:rPr>
              <w:t>标准实施及评价</w:t>
            </w:r>
            <w:r>
              <w:rPr>
                <w:rFonts w:hint="default" w:ascii="Times New Roman" w:hAnsi="Times New Roman" w:cs="Times New Roman"/>
                <w:lang w:val="en-US" w:eastAsia="zh-CN"/>
              </w:rPr>
              <w:t>。</w:t>
            </w:r>
          </w:p>
          <w:p w14:paraId="24AFCE15">
            <w:pPr>
              <w:pStyle w:val="3"/>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Times New Roman" w:hAnsi="Times New Roman" w:cs="Times New Roman"/>
                <w:lang w:val="en-US" w:eastAsia="zh-CN"/>
              </w:rPr>
            </w:pPr>
          </w:p>
        </w:tc>
      </w:tr>
      <w:tr w14:paraId="66D19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87" w:hRule="atLeast"/>
          <w:jc w:val="center"/>
        </w:trPr>
        <w:tc>
          <w:tcPr>
            <w:tcW w:w="5000" w:type="pct"/>
            <w:gridSpan w:val="4"/>
            <w:noWrap w:val="0"/>
            <w:vAlign w:val="top"/>
          </w:tcPr>
          <w:p w14:paraId="4D4BDCE1">
            <w:pPr>
              <w:numPr>
                <w:ilvl w:val="0"/>
                <w:numId w:val="2"/>
              </w:numPr>
              <w:adjustRightInd w:val="0"/>
              <w:snapToGrid w:val="0"/>
              <w:spacing w:line="500" w:lineRule="exact"/>
              <w:ind w:left="0" w:leftChars="0" w:firstLine="0" w:firstLineChars="0"/>
              <w:rPr>
                <w:rFonts w:ascii="Times New Roman" w:hAnsi="Times New Roman" w:eastAsia="CESI仿宋-GB2312"/>
                <w:color w:val="000000"/>
                <w:sz w:val="28"/>
                <w:szCs w:val="32"/>
              </w:rPr>
            </w:pPr>
            <w:r>
              <w:rPr>
                <w:rFonts w:ascii="Times New Roman" w:hAnsi="Times New Roman" w:eastAsia="CESI仿宋-GB2312"/>
                <w:color w:val="000000"/>
                <w:sz w:val="28"/>
                <w:szCs w:val="32"/>
              </w:rPr>
              <w:t>技术路线</w:t>
            </w:r>
          </w:p>
          <w:p w14:paraId="5F5A0CE5">
            <w:pPr>
              <w:pStyle w:val="3"/>
              <w:keepNext w:val="0"/>
              <w:keepLines w:val="0"/>
              <w:pageBreakBefore w:val="0"/>
              <w:widowControl w:val="0"/>
              <w:kinsoku/>
              <w:wordWrap/>
              <w:overflowPunct/>
              <w:topLinePunct w:val="0"/>
              <w:autoSpaceDE/>
              <w:autoSpaceDN/>
              <w:bidi w:val="0"/>
              <w:adjustRightInd/>
              <w:snapToGrid/>
              <w:spacing w:line="440" w:lineRule="exact"/>
              <w:ind w:left="0" w:leftChars="0" w:firstLine="0" w:firstLineChars="0"/>
              <w:textAlignment w:val="auto"/>
              <w:rPr>
                <w:rFonts w:hint="default" w:eastAsia="仿宋_GB2312"/>
                <w:lang w:val="en-US" w:eastAsia="zh-CN"/>
              </w:rPr>
            </w:pPr>
            <w:r>
              <w:rPr>
                <w:rFonts w:hint="eastAsia" w:cs="Times New Roman"/>
                <w:b/>
                <w:bCs/>
                <w:sz w:val="24"/>
                <w:szCs w:val="28"/>
                <w:lang w:val="en-US" w:eastAsia="zh-CN"/>
              </w:rPr>
              <w:t>2.</w:t>
            </w:r>
            <w:r>
              <w:rPr>
                <w:rFonts w:hint="eastAsia" w:cs="Times New Roman"/>
                <w:b/>
                <w:bCs/>
                <w:color w:val="auto"/>
                <w:sz w:val="24"/>
                <w:szCs w:val="28"/>
                <w:lang w:val="en-US" w:eastAsia="zh-CN"/>
              </w:rPr>
              <w:t>1</w:t>
            </w:r>
            <w:r>
              <w:rPr>
                <w:rFonts w:hint="default" w:ascii="Times New Roman" w:hAnsi="Times New Roman" w:eastAsia="仿宋_GB2312" w:cs="Times New Roman"/>
                <w:b/>
                <w:bCs/>
                <w:color w:val="auto"/>
                <w:sz w:val="24"/>
                <w:szCs w:val="28"/>
                <w:lang w:val="en-US" w:eastAsia="zh-CN"/>
              </w:rPr>
              <w:t xml:space="preserve"> </w:t>
            </w:r>
            <w:r>
              <w:rPr>
                <w:rFonts w:hint="eastAsia" w:cs="Times New Roman"/>
                <w:b/>
                <w:bCs/>
                <w:color w:val="auto"/>
                <w:sz w:val="24"/>
                <w:szCs w:val="28"/>
                <w:lang w:val="en-US" w:eastAsia="zh-CN"/>
              </w:rPr>
              <w:t>技术路线</w:t>
            </w:r>
          </w:p>
          <w:p w14:paraId="7E7DDDFC">
            <w:pPr>
              <w:pStyle w:val="3"/>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lang w:val="en-US" w:eastAsia="zh-CN"/>
              </w:rPr>
            </w:pPr>
            <w:r>
              <w:rPr>
                <w:rFonts w:hint="eastAsia" w:ascii="仿宋_GB2312" w:hAnsi="Calibri" w:eastAsia="仿宋_GB2312"/>
                <w:sz w:val="24"/>
                <w:szCs w:val="20"/>
              </w:rPr>
              <w:t>本</w:t>
            </w:r>
            <w:r>
              <w:rPr>
                <w:rFonts w:hint="eastAsia" w:ascii="仿宋_GB2312" w:hAnsi="Calibri" w:eastAsia="仿宋_GB2312"/>
                <w:sz w:val="24"/>
                <w:szCs w:val="20"/>
                <w:lang w:eastAsia="zh-CN"/>
              </w:rPr>
              <w:t>文件</w:t>
            </w:r>
            <w:r>
              <w:rPr>
                <w:rFonts w:hint="eastAsia" w:ascii="仿宋_GB2312" w:hAnsi="Calibri" w:eastAsia="仿宋_GB2312"/>
                <w:color w:val="000000"/>
                <w:sz w:val="24"/>
              </w:rPr>
              <w:t xml:space="preserve">参考《职业健康安全管理体系要求及使用指南》（GB/T 45001-2020/ISO 45001:2018）、《常用化学危险品贮存通则》（GB 15603）、《危险化学品重大危险源辨识》（GB 18218）、《检测实验室安全》（GB/T27476所有部分）、《地表水和污水监测技术规范》（HJ/T 91-2002）、《地下水环境监测技术规范》（HJ 164-2020）、《工业污染源现场检查技术规范》（HJ </w:t>
            </w:r>
            <w:r>
              <w:rPr>
                <w:rFonts w:ascii="仿宋_GB2312" w:hAnsi="Calibri" w:eastAsia="仿宋_GB2312"/>
                <w:color w:val="000000"/>
                <w:sz w:val="24"/>
              </w:rPr>
              <w:t>6</w:t>
            </w:r>
            <w:r>
              <w:rPr>
                <w:rFonts w:hint="eastAsia" w:ascii="仿宋_GB2312" w:hAnsi="Calibri" w:eastAsia="仿宋_GB2312"/>
                <w:color w:val="000000"/>
                <w:sz w:val="24"/>
              </w:rPr>
              <w:t>06</w:t>
            </w:r>
            <w:r>
              <w:rPr>
                <w:rFonts w:ascii="仿宋_GB2312" w:hAnsi="Calibri" w:eastAsia="仿宋_GB2312"/>
                <w:color w:val="000000"/>
                <w:sz w:val="24"/>
              </w:rPr>
              <w:t>-2011</w:t>
            </w:r>
            <w:r>
              <w:rPr>
                <w:rFonts w:hint="eastAsia" w:ascii="仿宋_GB2312" w:hAnsi="Calibri" w:eastAsia="仿宋_GB2312"/>
                <w:color w:val="000000"/>
                <w:sz w:val="24"/>
              </w:rPr>
              <w:t>）、《突发环境事件应急监测技术规范》（HJ 589-2021）等</w:t>
            </w:r>
            <w:r>
              <w:rPr>
                <w:rFonts w:ascii="仿宋_GB2312" w:hAnsi="Calibri" w:eastAsia="仿宋_GB2312"/>
                <w:color w:val="000000"/>
                <w:sz w:val="24"/>
              </w:rPr>
              <w:t>管理要求和</w:t>
            </w:r>
            <w:r>
              <w:rPr>
                <w:rFonts w:hint="eastAsia" w:ascii="仿宋_GB2312" w:hAnsi="Calibri" w:eastAsia="仿宋_GB2312"/>
                <w:color w:val="000000"/>
                <w:sz w:val="24"/>
              </w:rPr>
              <w:t>环境监测相关</w:t>
            </w:r>
            <w:r>
              <w:rPr>
                <w:rFonts w:ascii="仿宋_GB2312" w:hAnsi="Calibri" w:eastAsia="仿宋_GB2312"/>
                <w:color w:val="000000"/>
                <w:sz w:val="24"/>
              </w:rPr>
              <w:t>技术</w:t>
            </w:r>
            <w:r>
              <w:rPr>
                <w:rFonts w:hint="eastAsia" w:ascii="仿宋_GB2312" w:hAnsi="Calibri" w:eastAsia="仿宋_GB2312"/>
                <w:color w:val="000000"/>
                <w:sz w:val="24"/>
              </w:rPr>
              <w:t>规范要求</w:t>
            </w:r>
            <w:r>
              <w:rPr>
                <w:rFonts w:ascii="仿宋_GB2312" w:hAnsi="Calibri" w:eastAsia="仿宋_GB2312"/>
                <w:color w:val="000000"/>
                <w:sz w:val="24"/>
              </w:rPr>
              <w:t>，</w:t>
            </w:r>
            <w:r>
              <w:rPr>
                <w:rFonts w:hint="eastAsia" w:ascii="仿宋_GB2312" w:hAnsi="Calibri" w:eastAsia="仿宋_GB2312"/>
                <w:color w:val="000000"/>
                <w:sz w:val="24"/>
              </w:rPr>
              <w:t>结合我省</w:t>
            </w:r>
            <w:r>
              <w:rPr>
                <w:rFonts w:hint="eastAsia" w:ascii="仿宋_GB2312" w:eastAsia="仿宋_GB2312"/>
                <w:color w:val="000000"/>
                <w:sz w:val="24"/>
              </w:rPr>
              <w:t>生态环境监测机构的</w:t>
            </w:r>
            <w:r>
              <w:rPr>
                <w:rFonts w:hint="eastAsia" w:ascii="仿宋_GB2312" w:hAnsi="Calibri" w:eastAsia="仿宋_GB2312"/>
                <w:color w:val="000000"/>
                <w:sz w:val="24"/>
              </w:rPr>
              <w:t>工作</w:t>
            </w:r>
            <w:r>
              <w:rPr>
                <w:rFonts w:ascii="仿宋_GB2312" w:hAnsi="Calibri" w:eastAsia="仿宋_GB2312"/>
                <w:color w:val="000000"/>
                <w:sz w:val="24"/>
              </w:rPr>
              <w:t>特点和</w:t>
            </w:r>
            <w:r>
              <w:rPr>
                <w:rFonts w:hint="eastAsia" w:ascii="仿宋_GB2312" w:hAnsi="Calibri" w:eastAsia="仿宋_GB2312"/>
                <w:color w:val="000000"/>
                <w:sz w:val="24"/>
              </w:rPr>
              <w:t>实际情况</w:t>
            </w:r>
            <w:r>
              <w:rPr>
                <w:rFonts w:ascii="仿宋_GB2312" w:hAnsi="Calibri" w:eastAsia="仿宋_GB2312"/>
                <w:color w:val="000000"/>
                <w:sz w:val="24"/>
              </w:rPr>
              <w:t>，</w:t>
            </w:r>
            <w:r>
              <w:rPr>
                <w:rFonts w:hint="eastAsia" w:ascii="仿宋_GB2312" w:hAnsi="Calibri" w:eastAsia="仿宋_GB2312"/>
                <w:color w:val="000000"/>
                <w:sz w:val="24"/>
              </w:rPr>
              <w:t>从人员、设备设施、物料、场所环境、管理体系等方面，</w:t>
            </w:r>
            <w:r>
              <w:rPr>
                <w:rFonts w:ascii="仿宋_GB2312" w:hAnsi="Calibri" w:eastAsia="仿宋_GB2312"/>
                <w:color w:val="000000"/>
                <w:sz w:val="24"/>
              </w:rPr>
              <w:t>对</w:t>
            </w:r>
            <w:r>
              <w:rPr>
                <w:rFonts w:hint="eastAsia" w:ascii="仿宋_GB2312" w:hAnsi="Calibri" w:eastAsia="仿宋_GB2312"/>
                <w:color w:val="000000"/>
                <w:sz w:val="24"/>
              </w:rPr>
              <w:t>不同监测</w:t>
            </w:r>
            <w:r>
              <w:rPr>
                <w:rFonts w:hint="eastAsia" w:ascii="仿宋_GB2312" w:hAnsi="Calibri"/>
                <w:color w:val="000000"/>
                <w:sz w:val="24"/>
                <w:lang w:val="en-US" w:eastAsia="zh-CN"/>
              </w:rPr>
              <w:t>场景</w:t>
            </w:r>
            <w:r>
              <w:rPr>
                <w:rFonts w:hint="eastAsia" w:ascii="仿宋_GB2312" w:hAnsi="Calibri" w:eastAsia="仿宋_GB2312"/>
                <w:color w:val="000000"/>
                <w:sz w:val="24"/>
              </w:rPr>
              <w:t>（如现场监测、实验室监测、应急监测、自动监测</w:t>
            </w:r>
            <w:r>
              <w:rPr>
                <w:rFonts w:hint="eastAsia" w:ascii="仿宋_GB2312" w:hAnsi="Calibri"/>
                <w:color w:val="000000"/>
                <w:sz w:val="24"/>
                <w:lang w:eastAsia="zh-CN"/>
              </w:rPr>
              <w:t>、</w:t>
            </w:r>
            <w:r>
              <w:rPr>
                <w:rFonts w:hint="eastAsia" w:hAnsi="宋体"/>
                <w:color w:val="auto"/>
                <w:lang w:val="en-US" w:eastAsia="zh-CN"/>
              </w:rPr>
              <w:t>辐射</w:t>
            </w:r>
            <w:r>
              <w:rPr>
                <w:rFonts w:hint="eastAsia" w:hAnsi="宋体"/>
                <w:color w:val="auto"/>
              </w:rPr>
              <w:t>监测</w:t>
            </w:r>
            <w:r>
              <w:rPr>
                <w:rFonts w:hint="eastAsia" w:ascii="仿宋_GB2312" w:hAnsi="Calibri" w:eastAsia="仿宋_GB2312"/>
                <w:color w:val="000000"/>
                <w:sz w:val="24"/>
              </w:rPr>
              <w:t>）等工作中的安全控制点、危险源识别、危险因素评价、风险控制及措施改进等内容提出基本要求和技术</w:t>
            </w:r>
            <w:r>
              <w:rPr>
                <w:rFonts w:ascii="仿宋_GB2312" w:hAnsi="Calibri" w:eastAsia="仿宋_GB2312"/>
                <w:color w:val="000000"/>
                <w:sz w:val="24"/>
              </w:rPr>
              <w:t>规定</w:t>
            </w:r>
            <w:r>
              <w:rPr>
                <w:rFonts w:hint="eastAsia" w:ascii="仿宋_GB2312" w:hAnsi="Calibri" w:eastAsia="仿宋_GB2312"/>
                <w:color w:val="000000"/>
                <w:sz w:val="24"/>
              </w:rPr>
              <w:t>，主要</w:t>
            </w:r>
            <w:r>
              <w:rPr>
                <w:rFonts w:ascii="仿宋_GB2312" w:hAnsi="Calibri" w:eastAsia="仿宋_GB2312"/>
                <w:color w:val="000000"/>
                <w:sz w:val="24"/>
              </w:rPr>
              <w:t>目的</w:t>
            </w:r>
            <w:r>
              <w:rPr>
                <w:rFonts w:hint="eastAsia" w:ascii="仿宋_GB2312" w:hAnsi="Calibri" w:eastAsia="仿宋_GB2312"/>
                <w:color w:val="000000"/>
                <w:sz w:val="24"/>
              </w:rPr>
              <w:t>在于规范</w:t>
            </w:r>
            <w:r>
              <w:rPr>
                <w:rFonts w:hint="eastAsia" w:ascii="仿宋_GB2312" w:eastAsia="仿宋_GB2312"/>
                <w:color w:val="000000"/>
                <w:sz w:val="24"/>
              </w:rPr>
              <w:t>生态环境监测机构从业环境，保障生态环境监测工作顺利开展，发挥其在生态环境保护中的基础支撑作用</w:t>
            </w:r>
            <w:r>
              <w:rPr>
                <w:rFonts w:ascii="仿宋_GB2312" w:hAnsi="Calibri" w:eastAsia="仿宋_GB2312"/>
                <w:color w:val="000000"/>
                <w:sz w:val="24"/>
              </w:rPr>
              <w:t>。</w:t>
            </w:r>
            <w:r>
              <w:rPr>
                <w:rFonts w:hint="eastAsia" w:ascii="仿宋_GB2312" w:hAnsi="Calibri" w:eastAsia="仿宋_GB2312"/>
                <w:color w:val="000000"/>
                <w:sz w:val="24"/>
              </w:rPr>
              <w:t>本文件的技术路线</w:t>
            </w:r>
            <w:r>
              <w:rPr>
                <w:rFonts w:ascii="仿宋_GB2312" w:hAnsi="Calibri" w:eastAsia="仿宋_GB2312"/>
                <w:color w:val="000000"/>
                <w:sz w:val="24"/>
              </w:rPr>
              <w:t>如</w:t>
            </w:r>
            <w:r>
              <w:rPr>
                <w:rFonts w:hint="eastAsia" w:ascii="仿宋_GB2312" w:hAnsi="Calibri" w:eastAsia="仿宋_GB2312"/>
                <w:color w:val="000000"/>
                <w:sz w:val="24"/>
              </w:rPr>
              <w:t>图</w:t>
            </w:r>
            <w:r>
              <w:rPr>
                <w:rFonts w:hint="eastAsia" w:ascii="仿宋_GB2312" w:hAnsi="Calibri"/>
                <w:color w:val="000000"/>
                <w:sz w:val="24"/>
                <w:lang w:val="en-US" w:eastAsia="zh-CN"/>
              </w:rPr>
              <w:t>2-1</w:t>
            </w:r>
            <w:r>
              <w:rPr>
                <w:rFonts w:ascii="仿宋_GB2312" w:hAnsi="Calibri" w:eastAsia="仿宋_GB2312"/>
                <w:color w:val="000000"/>
                <w:sz w:val="24"/>
              </w:rPr>
              <w:t>所示。</w:t>
            </w:r>
          </w:p>
          <w:p w14:paraId="1407360D">
            <w:pPr>
              <w:keepNext w:val="0"/>
              <w:keepLines w:val="0"/>
              <w:pageBreakBefore w:val="0"/>
              <w:widowControl w:val="0"/>
              <w:kinsoku/>
              <w:wordWrap/>
              <w:overflowPunct/>
              <w:topLinePunct w:val="0"/>
              <w:autoSpaceDE/>
              <w:autoSpaceDN/>
              <w:bidi w:val="0"/>
              <w:adjustRightInd/>
              <w:snapToGrid/>
              <w:spacing w:line="240" w:lineRule="auto"/>
              <w:ind w:firstLine="0"/>
              <w:jc w:val="center"/>
              <w:textAlignment w:val="auto"/>
              <w:rPr>
                <w:rFonts w:ascii="Times New Roman" w:hAnsi="Times New Roman" w:cs="Times New Roman"/>
              </w:rPr>
            </w:pPr>
            <w:r>
              <w:rPr>
                <w:rFonts w:hint="eastAsia" w:ascii="仿宋_GB2312" w:hAnsi="Calibri" w:eastAsia="仿宋_GB2312"/>
                <w:color w:val="000000"/>
                <w:sz w:val="24"/>
              </w:rPr>
              <w:drawing>
                <wp:inline distT="0" distB="0" distL="114300" distR="114300">
                  <wp:extent cx="5132070" cy="4678045"/>
                  <wp:effectExtent l="0" t="0" r="11430" b="8255"/>
                  <wp:docPr id="2" name="图片 1" descr="未命名文件(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未命名文件(3)"/>
                          <pic:cNvPicPr>
                            <a:picLocks noChangeAspect="1"/>
                          </pic:cNvPicPr>
                        </pic:nvPicPr>
                        <pic:blipFill>
                          <a:blip r:embed="rId5"/>
                          <a:stretch>
                            <a:fillRect/>
                          </a:stretch>
                        </pic:blipFill>
                        <pic:spPr>
                          <a:xfrm>
                            <a:off x="0" y="0"/>
                            <a:ext cx="5132070" cy="4678045"/>
                          </a:xfrm>
                          <a:prstGeom prst="rect">
                            <a:avLst/>
                          </a:prstGeom>
                          <a:noFill/>
                          <a:ln>
                            <a:noFill/>
                          </a:ln>
                        </pic:spPr>
                      </pic:pic>
                    </a:graphicData>
                  </a:graphic>
                </wp:inline>
              </w:drawing>
            </w:r>
          </w:p>
          <w:p w14:paraId="50D53594">
            <w:pPr>
              <w:pStyle w:val="6"/>
              <w:keepNext w:val="0"/>
              <w:keepLines w:val="0"/>
              <w:pageBreakBefore w:val="0"/>
              <w:widowControl w:val="0"/>
              <w:kinsoku/>
              <w:wordWrap/>
              <w:overflowPunct/>
              <w:topLinePunct w:val="0"/>
              <w:autoSpaceDE/>
              <w:autoSpaceDN/>
              <w:bidi w:val="0"/>
              <w:adjustRightInd/>
              <w:snapToGrid/>
              <w:spacing w:before="100" w:after="0" w:line="240" w:lineRule="auto"/>
              <w:jc w:val="center"/>
              <w:textAlignment w:val="auto"/>
              <w:rPr>
                <w:rFonts w:hint="eastAsia" w:ascii="Times New Roman" w:hAnsi="Times New Roman" w:eastAsia="仿宋_GB2312" w:cs="Times New Roman"/>
                <w:b/>
                <w:bCs/>
                <w:kern w:val="2"/>
                <w:sz w:val="21"/>
                <w:szCs w:val="21"/>
                <w:lang w:val="en-US" w:eastAsia="zh-CN" w:bidi="ar-SA"/>
              </w:rPr>
            </w:pPr>
            <w:bookmarkStart w:id="0" w:name="_Ref128946293"/>
            <w:r>
              <w:rPr>
                <w:rFonts w:hint="eastAsia" w:ascii="Times New Roman" w:hAnsi="Times New Roman" w:eastAsia="仿宋_GB2312" w:cs="Times New Roman"/>
                <w:b/>
                <w:bCs/>
                <w:kern w:val="2"/>
                <w:sz w:val="21"/>
                <w:szCs w:val="21"/>
                <w:lang w:val="en-US" w:eastAsia="zh-CN" w:bidi="ar-SA"/>
              </w:rPr>
              <w:t>图2</w:t>
            </w:r>
            <w:bookmarkEnd w:id="0"/>
            <w:r>
              <w:rPr>
                <w:rFonts w:hint="default" w:ascii="Times New Roman" w:hAnsi="Times New Roman" w:eastAsia="仿宋_GB2312" w:cs="Times New Roman"/>
                <w:b/>
                <w:bCs/>
                <w:kern w:val="2"/>
                <w:sz w:val="21"/>
                <w:szCs w:val="21"/>
                <w:lang w:val="en" w:eastAsia="zh-CN" w:bidi="ar-SA"/>
              </w:rPr>
              <w:t>-</w:t>
            </w:r>
            <w:r>
              <w:rPr>
                <w:rFonts w:hint="eastAsia" w:ascii="Times New Roman" w:hAnsi="Times New Roman" w:eastAsia="仿宋_GB2312" w:cs="Times New Roman"/>
                <w:b/>
                <w:bCs/>
                <w:kern w:val="2"/>
                <w:sz w:val="21"/>
                <w:szCs w:val="21"/>
                <w:lang w:val="en-US" w:eastAsia="zh-CN" w:bidi="ar-SA"/>
              </w:rPr>
              <w:t>1 技术路线图</w:t>
            </w:r>
          </w:p>
          <w:p w14:paraId="343EAD91">
            <w:pPr>
              <w:pStyle w:val="3"/>
              <w:keepNext w:val="0"/>
              <w:keepLines w:val="0"/>
              <w:pageBreakBefore w:val="0"/>
              <w:widowControl w:val="0"/>
              <w:kinsoku/>
              <w:wordWrap/>
              <w:overflowPunct/>
              <w:topLinePunct w:val="0"/>
              <w:autoSpaceDE/>
              <w:autoSpaceDN/>
              <w:bidi w:val="0"/>
              <w:adjustRightInd/>
              <w:snapToGrid/>
              <w:spacing w:line="440" w:lineRule="exact"/>
              <w:ind w:left="0" w:leftChars="0" w:firstLine="0" w:firstLineChars="0"/>
              <w:textAlignment w:val="auto"/>
              <w:rPr>
                <w:rFonts w:hint="default" w:eastAsia="仿宋_GB2312"/>
                <w:color w:val="auto"/>
                <w:lang w:val="en-US" w:eastAsia="zh-CN"/>
              </w:rPr>
            </w:pPr>
            <w:r>
              <w:rPr>
                <w:rFonts w:hint="eastAsia" w:cs="Times New Roman"/>
                <w:b/>
                <w:bCs/>
                <w:color w:val="auto"/>
                <w:sz w:val="24"/>
                <w:szCs w:val="28"/>
                <w:lang w:val="en-US" w:eastAsia="zh-CN"/>
              </w:rPr>
              <w:t>2.2</w:t>
            </w:r>
            <w:r>
              <w:rPr>
                <w:rFonts w:hint="default" w:ascii="Times New Roman" w:hAnsi="Times New Roman" w:eastAsia="仿宋_GB2312" w:cs="Times New Roman"/>
                <w:b/>
                <w:bCs/>
                <w:color w:val="auto"/>
                <w:sz w:val="24"/>
                <w:szCs w:val="28"/>
                <w:lang w:val="en-US" w:eastAsia="zh-CN"/>
              </w:rPr>
              <w:t xml:space="preserve"> </w:t>
            </w:r>
            <w:r>
              <w:rPr>
                <w:rFonts w:hint="eastAsia" w:cs="Times New Roman"/>
                <w:b/>
                <w:bCs/>
                <w:color w:val="auto"/>
                <w:sz w:val="24"/>
                <w:szCs w:val="28"/>
                <w:lang w:val="en-US" w:eastAsia="zh-CN"/>
              </w:rPr>
              <w:t>主要技术要求</w:t>
            </w:r>
          </w:p>
          <w:p w14:paraId="2DC99E70">
            <w:pPr>
              <w:spacing w:line="400" w:lineRule="atLeast"/>
              <w:ind w:firstLine="480"/>
              <w:rPr>
                <w:rFonts w:hint="default"/>
                <w:lang w:val="en-US" w:eastAsia="zh-CN"/>
              </w:rPr>
            </w:pPr>
            <w:r>
              <w:rPr>
                <w:rFonts w:hint="eastAsia" w:ascii="仿宋_GB2312" w:eastAsia="仿宋_GB2312"/>
                <w:color w:val="000000"/>
                <w:sz w:val="24"/>
                <w:lang w:val="en-US" w:eastAsia="zh-CN"/>
              </w:rPr>
              <w:t>规范</w:t>
            </w:r>
            <w:r>
              <w:rPr>
                <w:rFonts w:hint="eastAsia" w:ascii="仿宋_GB2312" w:eastAsia="仿宋_GB2312"/>
                <w:color w:val="000000"/>
                <w:sz w:val="24"/>
              </w:rPr>
              <w:t>对生态环境监测机构监测过程中存在的安全风险及问题进行整理收集，</w:t>
            </w:r>
            <w:r>
              <w:rPr>
                <w:rFonts w:hint="eastAsia" w:ascii="仿宋_GB2312" w:hAnsi="Calibri" w:eastAsia="仿宋_GB2312"/>
                <w:color w:val="000000"/>
                <w:sz w:val="24"/>
              </w:rPr>
              <w:t>从人员、设备设施、物料、场所环境、管理体系等方面，</w:t>
            </w:r>
            <w:r>
              <w:rPr>
                <w:rFonts w:hint="eastAsia" w:ascii="仿宋_GB2312" w:eastAsia="仿宋_GB2312"/>
                <w:color w:val="000000"/>
                <w:sz w:val="24"/>
              </w:rPr>
              <w:t>对</w:t>
            </w:r>
            <w:r>
              <w:rPr>
                <w:rFonts w:hint="eastAsia" w:ascii="仿宋_GB2312" w:hAnsi="Calibri" w:eastAsia="仿宋_GB2312"/>
                <w:color w:val="000000"/>
                <w:sz w:val="24"/>
              </w:rPr>
              <w:t>不同监测</w:t>
            </w:r>
            <w:r>
              <w:rPr>
                <w:rFonts w:hint="eastAsia" w:ascii="仿宋_GB2312" w:eastAsia="仿宋_GB2312"/>
                <w:color w:val="000000"/>
                <w:sz w:val="24"/>
                <w:lang w:val="en-US" w:eastAsia="zh-CN"/>
              </w:rPr>
              <w:t>场景</w:t>
            </w:r>
            <w:r>
              <w:rPr>
                <w:rFonts w:hint="eastAsia" w:ascii="仿宋_GB2312" w:eastAsia="仿宋_GB2312"/>
                <w:color w:val="000000"/>
                <w:sz w:val="24"/>
              </w:rPr>
              <w:t>（如现场监测、实验室监测、突发环境事件应急监测、环境空气和地表水自动监测），按照可能造成安全隐患的因素进行分类（</w:t>
            </w:r>
            <w:r>
              <w:rPr>
                <w:rFonts w:hint="eastAsia" w:ascii="仿宋_GB2312" w:eastAsia="仿宋_GB2312"/>
                <w:color w:val="000000"/>
                <w:sz w:val="24"/>
                <w:lang w:val="en-US" w:eastAsia="zh-CN"/>
              </w:rPr>
              <w:t>现场监测</w:t>
            </w:r>
            <w:r>
              <w:rPr>
                <w:rFonts w:hint="eastAsia" w:ascii="仿宋_GB2312" w:eastAsia="仿宋_GB2312"/>
                <w:color w:val="000000"/>
                <w:sz w:val="24"/>
              </w:rPr>
              <w:t>风险，</w:t>
            </w:r>
            <w:r>
              <w:rPr>
                <w:rFonts w:hint="eastAsia" w:ascii="仿宋_GB2312" w:eastAsia="仿宋_GB2312"/>
                <w:color w:val="000000"/>
                <w:sz w:val="24"/>
                <w:lang w:val="en-US" w:eastAsia="zh-CN"/>
              </w:rPr>
              <w:t>实验室风险</w:t>
            </w:r>
            <w:r>
              <w:rPr>
                <w:rFonts w:hint="eastAsia" w:ascii="仿宋_GB2312" w:eastAsia="仿宋_GB2312"/>
                <w:color w:val="000000"/>
                <w:sz w:val="24"/>
              </w:rPr>
              <w:t>风险，</w:t>
            </w:r>
            <w:r>
              <w:rPr>
                <w:rFonts w:hint="eastAsia" w:ascii="仿宋_GB2312" w:eastAsia="仿宋_GB2312"/>
                <w:color w:val="000000"/>
                <w:sz w:val="24"/>
                <w:lang w:val="en-US" w:eastAsia="zh-CN"/>
              </w:rPr>
              <w:t>自动监测风险、应急监测风险、</w:t>
            </w:r>
            <w:r>
              <w:rPr>
                <w:rFonts w:hint="eastAsia" w:ascii="仿宋_GB2312" w:eastAsia="仿宋_GB2312"/>
                <w:color w:val="000000"/>
                <w:sz w:val="24"/>
              </w:rPr>
              <w:t>辐射性风险），结合</w:t>
            </w:r>
            <w:r>
              <w:rPr>
                <w:rFonts w:ascii="仿宋_GB2312" w:eastAsia="仿宋_GB2312"/>
                <w:color w:val="000000"/>
                <w:sz w:val="24"/>
              </w:rPr>
              <w:t>统计学方法及质控要求，提出</w:t>
            </w:r>
            <w:r>
              <w:rPr>
                <w:rFonts w:hint="eastAsia" w:ascii="仿宋_GB2312" w:eastAsia="仿宋_GB2312"/>
                <w:color w:val="000000"/>
                <w:sz w:val="24"/>
              </w:rPr>
              <w:t>符合当前生态环境监测机构安全管理的技术</w:t>
            </w:r>
            <w:r>
              <w:rPr>
                <w:rFonts w:hint="eastAsia" w:ascii="仿宋_GB2312" w:hAnsi="Calibri" w:eastAsia="仿宋_GB2312"/>
                <w:color w:val="000000"/>
                <w:sz w:val="24"/>
              </w:rPr>
              <w:t>关键点，并</w:t>
            </w:r>
            <w:r>
              <w:rPr>
                <w:rFonts w:hint="eastAsia" w:ascii="仿宋_GB2312" w:eastAsia="仿宋_GB2312"/>
                <w:color w:val="000000"/>
                <w:sz w:val="24"/>
              </w:rPr>
              <w:t>根据风险分析法制定出具体的安全等级判定细则，以及安全风险</w:t>
            </w:r>
            <w:r>
              <w:rPr>
                <w:rFonts w:hint="eastAsia" w:ascii="仿宋_GB2312" w:hAnsi="Calibri" w:eastAsia="仿宋_GB2312"/>
                <w:color w:val="000000"/>
                <w:sz w:val="24"/>
              </w:rPr>
              <w:t>控制及措施改进等基本要求</w:t>
            </w:r>
            <w:r>
              <w:rPr>
                <w:rFonts w:hint="eastAsia" w:ascii="仿宋_GB2312" w:eastAsia="仿宋_GB2312"/>
                <w:color w:val="000000"/>
                <w:sz w:val="24"/>
              </w:rPr>
              <w:t>。</w:t>
            </w:r>
          </w:p>
          <w:p w14:paraId="5EF79255">
            <w:pPr>
              <w:keepNext w:val="0"/>
              <w:keepLines w:val="0"/>
              <w:pageBreakBefore w:val="0"/>
              <w:widowControl w:val="0"/>
              <w:kinsoku/>
              <w:wordWrap/>
              <w:overflowPunct/>
              <w:topLinePunct w:val="0"/>
              <w:autoSpaceDE/>
              <w:autoSpaceDN/>
              <w:bidi w:val="0"/>
              <w:adjustRightInd/>
              <w:snapToGrid/>
              <w:spacing w:line="440" w:lineRule="exact"/>
              <w:textAlignment w:val="auto"/>
              <w:rPr>
                <w:rFonts w:hint="default" w:ascii="Times New Roman" w:hAnsi="Times New Roman" w:eastAsia="仿宋_GB2312" w:cs="Times New Roman"/>
                <w:b/>
                <w:bCs/>
                <w:sz w:val="24"/>
                <w:szCs w:val="28"/>
                <w:lang w:val="en-US" w:eastAsia="zh-CN"/>
              </w:rPr>
            </w:pPr>
            <w:r>
              <w:rPr>
                <w:rFonts w:hint="eastAsia" w:ascii="Times New Roman" w:hAnsi="Times New Roman" w:eastAsia="仿宋_GB2312" w:cs="Times New Roman"/>
                <w:b/>
                <w:bCs/>
                <w:sz w:val="24"/>
                <w:szCs w:val="28"/>
                <w:lang w:val="en-US" w:eastAsia="zh-CN"/>
              </w:rPr>
              <w:t>2.2.1 基本要求</w:t>
            </w:r>
          </w:p>
          <w:p w14:paraId="534B90E0">
            <w:pPr>
              <w:pStyle w:val="3"/>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default"/>
                <w:lang w:val="en-US" w:eastAsia="zh-CN"/>
              </w:rPr>
            </w:pPr>
            <w:r>
              <w:rPr>
                <w:rFonts w:hint="eastAsia"/>
                <w:lang w:val="en-US" w:eastAsia="zh-CN"/>
              </w:rPr>
              <w:t>结合生态环境</w:t>
            </w:r>
            <w:r>
              <w:rPr>
                <w:rFonts w:hint="default"/>
                <w:lang w:val="en-US" w:eastAsia="zh-CN"/>
              </w:rPr>
              <w:t>监测工作特点和实际情况，对机构、人员、</w:t>
            </w:r>
            <w:r>
              <w:rPr>
                <w:rFonts w:hint="eastAsia"/>
                <w:lang w:val="en-US" w:eastAsia="zh-CN"/>
              </w:rPr>
              <w:t>场所</w:t>
            </w:r>
            <w:r>
              <w:rPr>
                <w:rFonts w:hint="default"/>
                <w:lang w:val="en-US" w:eastAsia="zh-CN"/>
              </w:rPr>
              <w:t>环境、</w:t>
            </w:r>
            <w:r>
              <w:rPr>
                <w:rFonts w:hint="eastAsia"/>
                <w:lang w:val="en-US" w:eastAsia="zh-CN"/>
              </w:rPr>
              <w:t>设施</w:t>
            </w:r>
            <w:r>
              <w:rPr>
                <w:rFonts w:hint="default"/>
                <w:lang w:val="en-US" w:eastAsia="zh-CN"/>
              </w:rPr>
              <w:t>设备、</w:t>
            </w:r>
            <w:r>
              <w:rPr>
                <w:rFonts w:hint="eastAsia"/>
                <w:lang w:val="en-US" w:eastAsia="zh-CN"/>
              </w:rPr>
              <w:t>物料</w:t>
            </w:r>
            <w:r>
              <w:rPr>
                <w:rFonts w:hint="default"/>
                <w:lang w:val="en-US" w:eastAsia="zh-CN"/>
              </w:rPr>
              <w:t>等要求做出了规定。</w:t>
            </w:r>
            <w:bookmarkStart w:id="1" w:name="_Toc1273568936_WPSOffice_Level3"/>
          </w:p>
          <w:p w14:paraId="56F09E5B">
            <w:pPr>
              <w:pStyle w:val="3"/>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default"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kern w:val="2"/>
                <w:sz w:val="24"/>
                <w:szCs w:val="24"/>
                <w:lang w:val="en-US" w:eastAsia="zh-CN" w:bidi="ar-SA"/>
              </w:rPr>
              <w:t>2.2.1.1</w:t>
            </w:r>
            <w:r>
              <w:rPr>
                <w:rFonts w:hint="eastAsia" w:cs="Times New Roman"/>
                <w:kern w:val="2"/>
                <w:sz w:val="24"/>
                <w:szCs w:val="24"/>
                <w:lang w:val="en-US" w:eastAsia="zh-CN" w:bidi="ar-SA"/>
              </w:rPr>
              <w:t xml:space="preserve"> </w:t>
            </w:r>
            <w:r>
              <w:rPr>
                <w:rFonts w:hint="default" w:ascii="Times New Roman" w:hAnsi="Times New Roman" w:eastAsia="仿宋_GB2312" w:cs="Times New Roman"/>
                <w:kern w:val="2"/>
                <w:sz w:val="24"/>
                <w:szCs w:val="24"/>
                <w:lang w:val="en-US" w:eastAsia="zh-CN" w:bidi="ar-SA"/>
              </w:rPr>
              <w:t>机构</w:t>
            </w:r>
            <w:bookmarkEnd w:id="1"/>
          </w:p>
          <w:p w14:paraId="6888AAEF">
            <w:pPr>
              <w:pStyle w:val="3"/>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default"/>
                <w:lang w:val="en-US" w:eastAsia="zh-CN"/>
              </w:rPr>
            </w:pPr>
            <w:r>
              <w:rPr>
                <w:rFonts w:hint="default"/>
                <w:lang w:val="en-US" w:eastAsia="zh-CN"/>
              </w:rPr>
              <w:t>明确</w:t>
            </w:r>
            <w:r>
              <w:rPr>
                <w:rFonts w:hint="eastAsia"/>
                <w:lang w:val="en-US" w:eastAsia="zh-CN"/>
              </w:rPr>
              <w:t>生态环境安全管理机构</w:t>
            </w:r>
            <w:r>
              <w:rPr>
                <w:rFonts w:hint="default"/>
                <w:lang w:val="en-US" w:eastAsia="zh-CN"/>
              </w:rPr>
              <w:t>（简称</w:t>
            </w:r>
            <w:r>
              <w:rPr>
                <w:rFonts w:hint="eastAsia"/>
                <w:lang w:val="en-US" w:eastAsia="zh-CN"/>
              </w:rPr>
              <w:t>“</w:t>
            </w:r>
            <w:r>
              <w:rPr>
                <w:rFonts w:hint="default"/>
                <w:lang w:val="en-US" w:eastAsia="zh-CN"/>
              </w:rPr>
              <w:t>机构</w:t>
            </w:r>
            <w:r>
              <w:rPr>
                <w:rFonts w:hint="eastAsia"/>
                <w:lang w:val="en-US" w:eastAsia="zh-CN"/>
              </w:rPr>
              <w:t>”</w:t>
            </w:r>
            <w:r>
              <w:rPr>
                <w:rFonts w:hint="default"/>
                <w:lang w:val="en-US" w:eastAsia="zh-CN"/>
              </w:rPr>
              <w:t>）应符合DB/T XXXX.1的规定。</w:t>
            </w:r>
          </w:p>
          <w:p w14:paraId="38E476C8">
            <w:pPr>
              <w:pStyle w:val="3"/>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default"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kern w:val="2"/>
                <w:sz w:val="24"/>
                <w:szCs w:val="24"/>
                <w:lang w:val="en-US" w:eastAsia="zh-CN" w:bidi="ar-SA"/>
              </w:rPr>
              <w:t>2.2.1.</w:t>
            </w:r>
            <w:r>
              <w:rPr>
                <w:rFonts w:hint="eastAsia" w:cs="Times New Roman"/>
                <w:kern w:val="2"/>
                <w:sz w:val="24"/>
                <w:szCs w:val="24"/>
                <w:lang w:val="en-US" w:eastAsia="zh-CN" w:bidi="ar-SA"/>
              </w:rPr>
              <w:t>2 人员</w:t>
            </w:r>
          </w:p>
          <w:p w14:paraId="7E50D0B7">
            <w:pPr>
              <w:pStyle w:val="3"/>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default"/>
                <w:lang w:val="en-US" w:eastAsia="zh-CN"/>
              </w:rPr>
            </w:pPr>
            <w:r>
              <w:rPr>
                <w:rFonts w:hint="default"/>
                <w:lang w:val="en-US" w:eastAsia="zh-CN"/>
              </w:rPr>
              <w:t>明确</w:t>
            </w:r>
            <w:r>
              <w:rPr>
                <w:rFonts w:hint="eastAsia"/>
                <w:lang w:val="en-US" w:eastAsia="zh-CN"/>
              </w:rPr>
              <w:t>生态环境监测机构人员应符合DB/T XXXX.1的规定。</w:t>
            </w:r>
          </w:p>
          <w:p w14:paraId="0DE689F9">
            <w:pPr>
              <w:pStyle w:val="3"/>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default"/>
                <w:lang w:val="en-US" w:eastAsia="zh-CN"/>
              </w:rPr>
            </w:pPr>
            <w:r>
              <w:rPr>
                <w:rFonts w:hint="default"/>
                <w:lang w:val="en-US" w:eastAsia="zh-CN"/>
              </w:rPr>
              <w:t>人员应熟练掌握</w:t>
            </w:r>
            <w:r>
              <w:rPr>
                <w:rFonts w:hint="eastAsia"/>
                <w:lang w:val="en-US" w:eastAsia="zh-CN"/>
              </w:rPr>
              <w:t>与所处岗位相适应的安全防护知识，具备从事相关工作的能力，</w:t>
            </w:r>
            <w:r>
              <w:rPr>
                <w:rFonts w:hint="default"/>
                <w:lang w:val="en-US" w:eastAsia="zh-CN"/>
              </w:rPr>
              <w:t>具备</w:t>
            </w:r>
            <w:r>
              <w:rPr>
                <w:rFonts w:hint="eastAsia" w:cs="Times New Roman"/>
                <w:bCs w:val="0"/>
                <w:lang w:val="en-US" w:eastAsia="zh-CN"/>
              </w:rPr>
              <w:t>危险源识别、安全风险评价的能力</w:t>
            </w:r>
            <w:r>
              <w:rPr>
                <w:rFonts w:hint="default"/>
                <w:lang w:val="en-US" w:eastAsia="zh-CN"/>
              </w:rPr>
              <w:t>。</w:t>
            </w:r>
          </w:p>
          <w:p w14:paraId="4170BBA0">
            <w:pPr>
              <w:pStyle w:val="3"/>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default"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kern w:val="2"/>
                <w:sz w:val="24"/>
                <w:szCs w:val="24"/>
                <w:lang w:val="en-US" w:eastAsia="zh-CN" w:bidi="ar-SA"/>
              </w:rPr>
              <w:t>2.2.1.</w:t>
            </w:r>
            <w:r>
              <w:rPr>
                <w:rFonts w:hint="eastAsia" w:cs="Times New Roman"/>
                <w:kern w:val="2"/>
                <w:sz w:val="24"/>
                <w:szCs w:val="24"/>
                <w:lang w:val="en-US" w:eastAsia="zh-CN" w:bidi="ar-SA"/>
              </w:rPr>
              <w:t>3 场所环境</w:t>
            </w:r>
          </w:p>
          <w:p w14:paraId="0EF2624E">
            <w:pPr>
              <w:pStyle w:val="3"/>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default"/>
                <w:lang w:val="en-US" w:eastAsia="zh-CN"/>
              </w:rPr>
            </w:pPr>
            <w:r>
              <w:rPr>
                <w:rFonts w:hint="eastAsia"/>
                <w:lang w:val="en-US" w:eastAsia="zh-CN"/>
              </w:rPr>
              <w:t>明确机构开展生态环境监测活动所处场所环境的基本要求。</w:t>
            </w:r>
          </w:p>
          <w:p w14:paraId="52893E6F">
            <w:pPr>
              <w:pStyle w:val="3"/>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default"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kern w:val="2"/>
                <w:sz w:val="24"/>
                <w:szCs w:val="24"/>
                <w:lang w:val="en-US" w:eastAsia="zh-CN" w:bidi="ar-SA"/>
              </w:rPr>
              <w:t>2.2.1.</w:t>
            </w:r>
            <w:r>
              <w:rPr>
                <w:rFonts w:hint="eastAsia" w:cs="Times New Roman"/>
                <w:kern w:val="2"/>
                <w:sz w:val="24"/>
                <w:szCs w:val="24"/>
                <w:lang w:val="en-US" w:eastAsia="zh-CN" w:bidi="ar-SA"/>
              </w:rPr>
              <w:t>4 设备设施</w:t>
            </w:r>
          </w:p>
          <w:p w14:paraId="64DA96D7">
            <w:pPr>
              <w:pStyle w:val="3"/>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default"/>
                <w:lang w:val="en-US" w:eastAsia="zh-CN"/>
              </w:rPr>
            </w:pPr>
            <w:r>
              <w:rPr>
                <w:rFonts w:hint="eastAsia"/>
                <w:lang w:val="en-US" w:eastAsia="zh-CN"/>
              </w:rPr>
              <w:t>明确设施设备的安全要求。设施设备应明确相应的设备责任人，针对设施设备安全风险，制定并实施各设施安全操作规程。</w:t>
            </w:r>
          </w:p>
          <w:p w14:paraId="3B4E2728">
            <w:pPr>
              <w:pStyle w:val="3"/>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default"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kern w:val="2"/>
                <w:sz w:val="24"/>
                <w:szCs w:val="24"/>
                <w:lang w:val="en-US" w:eastAsia="zh-CN" w:bidi="ar-SA"/>
              </w:rPr>
              <w:t>2.2.1.</w:t>
            </w:r>
            <w:r>
              <w:rPr>
                <w:rFonts w:hint="eastAsia" w:cs="Times New Roman"/>
                <w:kern w:val="2"/>
                <w:sz w:val="24"/>
                <w:szCs w:val="24"/>
                <w:lang w:val="en-US" w:eastAsia="zh-CN" w:bidi="ar-SA"/>
              </w:rPr>
              <w:t>5 物料</w:t>
            </w:r>
          </w:p>
          <w:p w14:paraId="02B14373">
            <w:pPr>
              <w:pStyle w:val="3"/>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default"/>
                <w:lang w:val="en-US" w:eastAsia="zh-CN"/>
              </w:rPr>
            </w:pPr>
            <w:r>
              <w:rPr>
                <w:rFonts w:hint="eastAsia"/>
                <w:lang w:val="en-US" w:eastAsia="zh-CN"/>
              </w:rPr>
              <w:t>对物料的安全信息进行详细登记，做好物料的安全标识，对物料的存储、使用和处置进行安全识别和正确处理处置。</w:t>
            </w:r>
          </w:p>
          <w:p w14:paraId="1B8B8EC3">
            <w:pPr>
              <w:keepNext w:val="0"/>
              <w:keepLines w:val="0"/>
              <w:pageBreakBefore w:val="0"/>
              <w:widowControl w:val="0"/>
              <w:kinsoku/>
              <w:wordWrap/>
              <w:overflowPunct/>
              <w:topLinePunct w:val="0"/>
              <w:autoSpaceDE/>
              <w:autoSpaceDN/>
              <w:bidi w:val="0"/>
              <w:adjustRightInd/>
              <w:snapToGrid/>
              <w:spacing w:line="440" w:lineRule="exact"/>
              <w:textAlignment w:val="auto"/>
              <w:rPr>
                <w:rFonts w:hint="default" w:ascii="Times New Roman" w:hAnsi="Times New Roman" w:eastAsia="仿宋_GB2312" w:cs="Times New Roman"/>
                <w:b/>
                <w:bCs/>
                <w:sz w:val="24"/>
                <w:szCs w:val="28"/>
                <w:lang w:val="en-US" w:eastAsia="zh-CN"/>
              </w:rPr>
            </w:pPr>
            <w:r>
              <w:rPr>
                <w:rFonts w:hint="eastAsia" w:ascii="Times New Roman" w:hAnsi="Times New Roman" w:eastAsia="仿宋_GB2312" w:cs="Times New Roman"/>
                <w:b/>
                <w:bCs/>
                <w:sz w:val="24"/>
                <w:szCs w:val="28"/>
                <w:lang w:val="en-US" w:eastAsia="zh-CN"/>
              </w:rPr>
              <w:t>2.2.2 危险源辨识</w:t>
            </w:r>
          </w:p>
          <w:p w14:paraId="315E5C6C">
            <w:pPr>
              <w:pStyle w:val="3"/>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default" w:ascii="Times New Roman" w:hAnsi="Times New Roman" w:eastAsia="仿宋_GB2312" w:cs="Times New Roman"/>
                <w:b/>
                <w:bCs/>
                <w:sz w:val="24"/>
                <w:szCs w:val="28"/>
                <w:lang w:val="en-US" w:eastAsia="zh-CN"/>
              </w:rPr>
            </w:pPr>
            <w:r>
              <w:rPr>
                <w:rFonts w:hint="eastAsia" w:ascii="仿宋_GB2312"/>
                <w:color w:val="000000" w:themeColor="text1"/>
                <w:sz w:val="24"/>
                <w:lang w:val="en-US" w:eastAsia="zh-CN"/>
                <w14:textFill>
                  <w14:solidFill>
                    <w14:schemeClr w14:val="tx1"/>
                  </w14:solidFill>
                </w14:textFill>
              </w:rPr>
              <w:t>生态环境监测活动中的危险源</w:t>
            </w:r>
            <w:r>
              <w:rPr>
                <w:rFonts w:hint="eastAsia" w:ascii="仿宋_GB2312" w:eastAsia="仿宋_GB2312"/>
                <w:color w:val="000000" w:themeColor="text1"/>
                <w:sz w:val="24"/>
                <w14:textFill>
                  <w14:solidFill>
                    <w14:schemeClr w14:val="tx1"/>
                  </w14:solidFill>
                </w14:textFill>
              </w:rPr>
              <w:t>参</w:t>
            </w:r>
            <w:r>
              <w:rPr>
                <w:rFonts w:hint="eastAsia" w:ascii="仿宋_GB2312"/>
                <w:color w:val="000000" w:themeColor="text1"/>
                <w:sz w:val="24"/>
                <w:lang w:val="en-US" w:eastAsia="zh-CN"/>
                <w14:textFill>
                  <w14:solidFill>
                    <w14:schemeClr w14:val="tx1"/>
                  </w14:solidFill>
                </w14:textFill>
              </w:rPr>
              <w:t>辨识是一个系统工程，需要结合多种危险源识别方法，构建全方位、多层次的识别网络，确保不遗漏任何潜在风险点。通过参考</w:t>
            </w:r>
            <w:r>
              <w:rPr>
                <w:rFonts w:hint="eastAsia" w:ascii="仿宋_GB2312" w:eastAsia="仿宋_GB2312"/>
                <w:color w:val="000000" w:themeColor="text1"/>
                <w:sz w:val="24"/>
                <w14:textFill>
                  <w14:solidFill>
                    <w14:schemeClr w14:val="tx1"/>
                  </w14:solidFill>
                </w14:textFill>
              </w:rPr>
              <w:t>相关标准和文献对危险源的辨识方法、辨识范围</w:t>
            </w:r>
            <w:r>
              <w:rPr>
                <w:rFonts w:hint="eastAsia" w:ascii="仿宋_GB2312"/>
                <w:color w:val="000000" w:themeColor="text1"/>
                <w:sz w:val="24"/>
                <w:lang w:val="en-US" w:eastAsia="zh-CN"/>
                <w14:textFill>
                  <w14:solidFill>
                    <w14:schemeClr w14:val="tx1"/>
                  </w14:solidFill>
                </w14:textFill>
              </w:rPr>
              <w:t>和</w:t>
            </w:r>
            <w:r>
              <w:rPr>
                <w:rFonts w:hint="eastAsia" w:ascii="仿宋_GB2312" w:eastAsia="仿宋_GB2312"/>
                <w:color w:val="000000" w:themeColor="text1"/>
                <w:sz w:val="24"/>
                <w14:textFill>
                  <w14:solidFill>
                    <w14:schemeClr w14:val="tx1"/>
                  </w14:solidFill>
                </w14:textFill>
              </w:rPr>
              <w:t>危险源确认进行优化确认。</w:t>
            </w:r>
            <w:r>
              <w:rPr>
                <w:rFonts w:hint="eastAsia" w:ascii="仿宋_GB2312"/>
                <w:color w:val="000000" w:themeColor="text1"/>
                <w:sz w:val="24"/>
                <w:lang w:val="en-US" w:eastAsia="zh-CN"/>
                <w14:textFill>
                  <w14:solidFill>
                    <w14:schemeClr w14:val="tx1"/>
                  </w14:solidFill>
                </w14:textFill>
              </w:rPr>
              <w:t>危险源辨识方法包括工作危害分析法（JHA）、安全检查表法（SCL）、危险与可操作性分析法（HAZOP）、事故树分析（FTA）、事件树分析（ETA）等。结合生态环境监测活动的特点，采用工作危害分析法（JHA）识别监测活动中人、机、料、法、环的危险源，对不安全行为和客观隐患进行综合分析；对生态环境监测活动中设施设备的危险源识别采用安全检查表分析法（SCL），基于法规标准，对存在安全隐患的设备进行逐项核查，识别危险源。</w:t>
            </w:r>
          </w:p>
          <w:p w14:paraId="5AD39DAA">
            <w:pPr>
              <w:keepNext w:val="0"/>
              <w:keepLines w:val="0"/>
              <w:pageBreakBefore w:val="0"/>
              <w:widowControl w:val="0"/>
              <w:kinsoku/>
              <w:wordWrap/>
              <w:overflowPunct/>
              <w:topLinePunct w:val="0"/>
              <w:autoSpaceDE/>
              <w:autoSpaceDN/>
              <w:bidi w:val="0"/>
              <w:adjustRightInd/>
              <w:snapToGrid/>
              <w:spacing w:line="440" w:lineRule="exact"/>
              <w:textAlignment w:val="auto"/>
              <w:rPr>
                <w:rFonts w:hint="default" w:ascii="Times New Roman" w:hAnsi="Times New Roman" w:eastAsia="仿宋_GB2312" w:cs="Times New Roman"/>
                <w:b/>
                <w:bCs/>
                <w:sz w:val="24"/>
                <w:szCs w:val="28"/>
                <w:lang w:val="en-US" w:eastAsia="zh-CN"/>
              </w:rPr>
            </w:pPr>
            <w:r>
              <w:rPr>
                <w:rFonts w:hint="eastAsia" w:ascii="Times New Roman" w:hAnsi="Times New Roman" w:eastAsia="仿宋_GB2312" w:cs="Times New Roman"/>
                <w:b/>
                <w:bCs/>
                <w:sz w:val="24"/>
                <w:szCs w:val="28"/>
                <w:lang w:val="en-US" w:eastAsia="zh-CN"/>
              </w:rPr>
              <w:t>2.2.3 风险评价方法</w:t>
            </w:r>
          </w:p>
          <w:p w14:paraId="22822A99">
            <w:pPr>
              <w:pStyle w:val="3"/>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仿宋_GB2312"/>
                <w:color w:val="FF0000"/>
                <w:sz w:val="24"/>
                <w:lang w:val="en-US" w:eastAsia="zh-CN"/>
              </w:rPr>
            </w:pPr>
            <w:r>
              <w:rPr>
                <w:rFonts w:hint="eastAsia" w:ascii="仿宋_GB2312" w:eastAsia="仿宋_GB2312"/>
                <w:color w:val="000000" w:themeColor="text1"/>
                <w:sz w:val="24"/>
                <w14:textFill>
                  <w14:solidFill>
                    <w14:schemeClr w14:val="tx1"/>
                  </w14:solidFill>
                </w14:textFill>
              </w:rPr>
              <w:t>目前常见的</w:t>
            </w:r>
            <w:r>
              <w:rPr>
                <w:rFonts w:hint="eastAsia" w:ascii="仿宋_GB2312"/>
                <w:color w:val="000000" w:themeColor="text1"/>
                <w:sz w:val="24"/>
                <w:lang w:val="en-US" w:eastAsia="zh-CN"/>
                <w14:textFill>
                  <w14:solidFill>
                    <w14:schemeClr w14:val="tx1"/>
                  </w14:solidFill>
                </w14:textFill>
              </w:rPr>
              <w:t>风险评价分析方法有</w:t>
            </w:r>
            <w:r>
              <w:rPr>
                <w:rFonts w:hint="eastAsia" w:ascii="仿宋_GB2312" w:eastAsia="仿宋_GB2312"/>
                <w:color w:val="000000" w:themeColor="text1"/>
                <w:sz w:val="24"/>
                <w14:textFill>
                  <w14:solidFill>
                    <w14:schemeClr w14:val="tx1"/>
                  </w14:solidFill>
                </w14:textFill>
              </w:rPr>
              <w:t>经验类比法、风险矩阵分析法、作业条件危险性</w:t>
            </w:r>
            <w:r>
              <w:rPr>
                <w:rFonts w:hint="eastAsia" w:ascii="仿宋_GB2312"/>
                <w:color w:val="000000" w:themeColor="text1"/>
                <w:sz w:val="24"/>
                <w:lang w:val="en-US" w:eastAsia="zh-CN"/>
                <w14:textFill>
                  <w14:solidFill>
                    <w14:schemeClr w14:val="tx1"/>
                  </w14:solidFill>
                </w14:textFill>
              </w:rPr>
              <w:t>分析法</w:t>
            </w:r>
            <w:r>
              <w:rPr>
                <w:rFonts w:hint="eastAsia" w:ascii="仿宋_GB2312" w:eastAsia="仿宋_GB2312"/>
                <w:color w:val="000000" w:themeColor="text1"/>
                <w:sz w:val="24"/>
                <w14:textFill>
                  <w14:solidFill>
                    <w14:schemeClr w14:val="tx1"/>
                  </w14:solidFill>
                </w14:textFill>
              </w:rPr>
              <w:t>和风险程度分析法等</w:t>
            </w:r>
            <w:r>
              <w:rPr>
                <w:rFonts w:hint="eastAsia" w:ascii="仿宋_GB2312"/>
                <w:color w:val="000000" w:themeColor="text1"/>
                <w:sz w:val="24"/>
                <w:lang w:eastAsia="zh-CN"/>
                <w14:textFill>
                  <w14:solidFill>
                    <w14:schemeClr w14:val="tx1"/>
                  </w14:solidFill>
                </w14:textFill>
              </w:rPr>
              <w:t>。</w:t>
            </w:r>
            <w:r>
              <w:rPr>
                <w:rFonts w:hint="eastAsia" w:ascii="仿宋_GB2312"/>
                <w:color w:val="000000" w:themeColor="text1"/>
                <w:sz w:val="24"/>
                <w:lang w:val="en-US" w:eastAsia="zh-CN"/>
                <w14:textFill>
                  <w14:solidFill>
                    <w14:schemeClr w14:val="tx1"/>
                  </w14:solidFill>
                </w14:textFill>
              </w:rPr>
              <w:t>本文件提供风险矩阵分析法、作业条件危险性分析法和风险程度分析法等评价方法。</w:t>
            </w:r>
          </w:p>
          <w:p w14:paraId="68B84ECB">
            <w:pPr>
              <w:pStyle w:val="3"/>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仿宋_GB2312"/>
                <w:color w:val="000000" w:themeColor="text1"/>
                <w:sz w:val="24"/>
                <w:lang w:val="en-US" w:eastAsia="zh-CN"/>
                <w14:textFill>
                  <w14:solidFill>
                    <w14:schemeClr w14:val="tx1"/>
                  </w14:solidFill>
                </w14:textFill>
              </w:rPr>
            </w:pPr>
            <w:r>
              <w:rPr>
                <w:rFonts w:hint="eastAsia" w:ascii="仿宋_GB2312"/>
                <w:color w:val="000000" w:themeColor="text1"/>
                <w:sz w:val="24"/>
                <w:lang w:val="en-US" w:eastAsia="zh-CN"/>
                <w14:textFill>
                  <w14:solidFill>
                    <w14:schemeClr w14:val="tx1"/>
                  </w14:solidFill>
                </w14:textFill>
              </w:rPr>
              <w:t>其中风险矩阵分析法通过对风险进行评级，定义认为出现结果的可能性，在组合这些值的框内设定一个点，从矩阵中读取风险级别和相关的决策规则。</w:t>
            </w:r>
          </w:p>
          <w:p w14:paraId="4B469BDC">
            <w:pPr>
              <w:pStyle w:val="3"/>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default" w:ascii="仿宋_GB2312"/>
                <w:color w:val="000000" w:themeColor="text1"/>
                <w:sz w:val="24"/>
                <w:lang w:val="en-US" w:eastAsia="zh-CN"/>
                <w14:textFill>
                  <w14:solidFill>
                    <w14:schemeClr w14:val="tx1"/>
                  </w14:solidFill>
                </w14:textFill>
              </w:rPr>
            </w:pPr>
            <w:r>
              <w:rPr>
                <w:rFonts w:hint="eastAsia" w:ascii="仿宋_GB2312"/>
                <w:color w:val="000000" w:themeColor="text1"/>
                <w:sz w:val="24"/>
                <w:lang w:val="en-US" w:eastAsia="zh-CN"/>
                <w14:textFill>
                  <w14:solidFill>
                    <w14:schemeClr w14:val="tx1"/>
                  </w14:solidFill>
                </w14:textFill>
              </w:rPr>
              <w:t>风险矩阵可用于比较不同类型潜在结果的风险，并使用与组织的任何级别。可用于帮助确定给定的风险是否能够被广泛的接受，或者根据它在矩阵上所处的区域是不可接受的。可用于缺乏足够数据做详细分析的情况，或者不需要时间和精力进行更详细或定量分析的情况。</w:t>
            </w:r>
          </w:p>
          <w:p w14:paraId="4E806ADD">
            <w:pPr>
              <w:pStyle w:val="3"/>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风险矩阵比较容易使用，提供了将风险快速分级为不同级别的方法，并且按照风险的结果、可能性或水平，清晰直观地显示了风险的相关重要性，用于比较具有不同结果类型的风险。</w:t>
            </w:r>
          </w:p>
          <w:p w14:paraId="5CEDDA28">
            <w:pPr>
              <w:pStyle w:val="3"/>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作业条件危险性分析法是一种半定量的风险评估方法，通过事故发生的可能性（L）、人员暴露于危险环境的频繁程度（E）和一旦发生事故可能造成的后果（C）这三个核心因素的乘积来计算风险值（D）。</w:t>
            </w:r>
          </w:p>
          <w:p w14:paraId="4C91CBF5">
            <w:pPr>
              <w:pStyle w:val="3"/>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对风险值（D）进行风险等级划分并制定应对措施，在实际风险评价过程中将监测活动拆解为具体步骤，由相关安全员、安全负责人联合讨论L、E、C三个因素的赋值，计算风险值确定风险等级。</w:t>
            </w:r>
          </w:p>
          <w:p w14:paraId="404E449A">
            <w:pPr>
              <w:pStyle w:val="3"/>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风险程度分析法通过量化事故发生的可能性及后果严重性，确定风险等级并指导管控措施。其核心在于将风险拆解为三个关键因素：控制措施状态（M）、暴露频率（E）和事故后果（S），根据这三个因素的乘积来计算风险值（R），并划分风险等级。</w:t>
            </w:r>
          </w:p>
          <w:p w14:paraId="36C03010">
            <w:pPr>
              <w:keepNext w:val="0"/>
              <w:keepLines w:val="0"/>
              <w:pageBreakBefore w:val="0"/>
              <w:widowControl w:val="0"/>
              <w:kinsoku/>
              <w:wordWrap/>
              <w:overflowPunct/>
              <w:topLinePunct w:val="0"/>
              <w:autoSpaceDE/>
              <w:autoSpaceDN/>
              <w:bidi w:val="0"/>
              <w:adjustRightInd/>
              <w:snapToGrid/>
              <w:spacing w:line="440" w:lineRule="exact"/>
              <w:textAlignment w:val="auto"/>
              <w:rPr>
                <w:rFonts w:hint="default" w:ascii="Times New Roman" w:hAnsi="Times New Roman" w:eastAsia="仿宋_GB2312" w:cs="Times New Roman"/>
                <w:b/>
                <w:bCs/>
                <w:sz w:val="24"/>
                <w:szCs w:val="28"/>
                <w:lang w:val="en-US" w:eastAsia="zh-CN"/>
              </w:rPr>
            </w:pPr>
            <w:r>
              <w:rPr>
                <w:rFonts w:hint="eastAsia" w:ascii="Times New Roman" w:hAnsi="Times New Roman" w:eastAsia="仿宋_GB2312" w:cs="Times New Roman"/>
                <w:b/>
                <w:bCs/>
                <w:sz w:val="24"/>
                <w:szCs w:val="28"/>
                <w:lang w:val="en-US" w:eastAsia="zh-CN"/>
              </w:rPr>
              <w:t>2.2.4 控制措施</w:t>
            </w:r>
          </w:p>
          <w:p w14:paraId="377BB141">
            <w:pPr>
              <w:pStyle w:val="3"/>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b w:val="0"/>
                <w:bCs w:val="0"/>
                <w:lang w:val="en-US" w:eastAsia="zh-CN"/>
              </w:rPr>
            </w:pPr>
            <w:r>
              <w:rPr>
                <w:rFonts w:hint="eastAsia"/>
                <w:b w:val="0"/>
                <w:bCs w:val="0"/>
                <w:lang w:val="en-US" w:eastAsia="zh-CN"/>
              </w:rPr>
              <w:t>对生态环境监测活动的安全风险进行全方位的管理、控制、执行和监督，确保所有的风险因素都被纳入考虑，并得到有效的管控。</w:t>
            </w:r>
          </w:p>
          <w:p w14:paraId="20FFECE5">
            <w:pPr>
              <w:pStyle w:val="3"/>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b w:val="0"/>
                <w:bCs w:val="0"/>
                <w:lang w:val="en-US" w:eastAsia="zh-CN"/>
              </w:rPr>
            </w:pPr>
            <w:r>
              <w:rPr>
                <w:rFonts w:hint="eastAsia"/>
                <w:b w:val="0"/>
                <w:bCs w:val="0"/>
                <w:lang w:val="en-US" w:eastAsia="zh-CN"/>
              </w:rPr>
              <w:t>按照监测活动的类别对危险源进行控制：</w:t>
            </w:r>
          </w:p>
          <w:p w14:paraId="647AD0CF">
            <w:pPr>
              <w:pStyle w:val="3"/>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b w:val="0"/>
                <w:bCs w:val="0"/>
                <w:lang w:val="en-US" w:eastAsia="zh-CN"/>
              </w:rPr>
            </w:pPr>
            <w:r>
              <w:rPr>
                <w:rFonts w:hint="eastAsia"/>
                <w:b w:val="0"/>
                <w:bCs w:val="0"/>
                <w:lang w:val="en-US" w:eastAsia="zh-CN"/>
              </w:rPr>
              <w:t>在出现重大风险时，需要消除来自监测活动中的危险源，采用替代物或替代方法来减少风险；</w:t>
            </w:r>
          </w:p>
          <w:p w14:paraId="2F2BF623">
            <w:pPr>
              <w:pStyle w:val="3"/>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b w:val="0"/>
                <w:bCs w:val="0"/>
                <w:lang w:val="en-US" w:eastAsia="zh-CN"/>
              </w:rPr>
            </w:pPr>
            <w:r>
              <w:rPr>
                <w:rFonts w:hint="eastAsia"/>
                <w:b w:val="0"/>
                <w:bCs w:val="0"/>
                <w:lang w:val="en-US" w:eastAsia="zh-CN"/>
              </w:rPr>
              <w:t>在出现较大风险时，隔离危险源来控制风险，采取控制、抑制措施，减少接触；</w:t>
            </w:r>
          </w:p>
          <w:p w14:paraId="6EE6A4EB">
            <w:pPr>
              <w:pStyle w:val="3"/>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b w:val="0"/>
                <w:bCs w:val="0"/>
                <w:lang w:val="en-US" w:eastAsia="zh-CN"/>
              </w:rPr>
            </w:pPr>
            <w:r>
              <w:rPr>
                <w:rFonts w:hint="eastAsia"/>
                <w:b w:val="0"/>
                <w:bCs w:val="0"/>
                <w:lang w:val="en-US" w:eastAsia="zh-CN"/>
              </w:rPr>
              <w:t>在出现一般风险时，采用安全工作行为最小化接触，包括改变工作方法；</w:t>
            </w:r>
          </w:p>
          <w:p w14:paraId="0C19B289">
            <w:pPr>
              <w:pStyle w:val="3"/>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b w:val="0"/>
                <w:bCs w:val="0"/>
                <w:lang w:val="en-US" w:eastAsia="zh-CN"/>
              </w:rPr>
            </w:pPr>
            <w:r>
              <w:rPr>
                <w:rFonts w:hint="eastAsia"/>
                <w:b w:val="0"/>
                <w:bCs w:val="0"/>
                <w:lang w:val="en-US" w:eastAsia="zh-CN"/>
              </w:rPr>
              <w:t>在处于低风险时，采取个体防护措施，如为监测人员配备个人防护装备。</w:t>
            </w:r>
          </w:p>
          <w:p w14:paraId="7B53FDDC">
            <w:pPr>
              <w:numPr>
                <w:ilvl w:val="0"/>
                <w:numId w:val="2"/>
              </w:numPr>
              <w:adjustRightInd w:val="0"/>
              <w:snapToGrid w:val="0"/>
              <w:spacing w:line="500" w:lineRule="exact"/>
              <w:ind w:left="0" w:leftChars="0" w:firstLine="0" w:firstLineChars="0"/>
              <w:rPr>
                <w:rFonts w:ascii="Times New Roman" w:hAnsi="Times New Roman" w:eastAsia="CESI仿宋-GB2312" w:cs="Times New Roman"/>
                <w:color w:val="auto"/>
                <w:sz w:val="28"/>
                <w:szCs w:val="28"/>
              </w:rPr>
            </w:pPr>
            <w:r>
              <w:rPr>
                <w:rFonts w:hint="eastAsia" w:ascii="Times New Roman" w:hAnsi="Times New Roman" w:eastAsia="CESI仿宋-GB2312" w:cs="Times New Roman"/>
                <w:color w:val="auto"/>
                <w:sz w:val="28"/>
                <w:szCs w:val="28"/>
                <w:lang w:val="en-US" w:eastAsia="zh-CN"/>
              </w:rPr>
              <w:t>生态环境监测安全管理现状</w:t>
            </w:r>
          </w:p>
          <w:p w14:paraId="29D87E21">
            <w:pPr>
              <w:pStyle w:val="3"/>
              <w:keepNext w:val="0"/>
              <w:keepLines w:val="0"/>
              <w:pageBreakBefore w:val="0"/>
              <w:widowControl w:val="0"/>
              <w:numPr>
                <w:ilvl w:val="1"/>
                <w:numId w:val="3"/>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仿宋_GB2312" w:cs="Times New Roman"/>
                <w:b/>
                <w:bCs/>
                <w:sz w:val="24"/>
                <w:szCs w:val="28"/>
                <w:highlight w:val="none"/>
                <w:lang w:val="en-US" w:eastAsia="zh-CN"/>
              </w:rPr>
            </w:pPr>
            <w:r>
              <w:rPr>
                <w:rFonts w:hint="eastAsia" w:cs="Times New Roman"/>
                <w:b/>
                <w:bCs/>
                <w:sz w:val="24"/>
                <w:szCs w:val="28"/>
                <w:highlight w:val="none"/>
                <w:lang w:val="en-US" w:eastAsia="zh-CN"/>
              </w:rPr>
              <w:t>湖北省及国内外研究现状</w:t>
            </w:r>
          </w:p>
          <w:p w14:paraId="4AC72C63">
            <w:pPr>
              <w:pStyle w:val="3"/>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textAlignment w:val="auto"/>
              <w:rPr>
                <w:rFonts w:hint="eastAsia" w:ascii="仿宋_GB2312" w:hAnsi="Calibri" w:eastAsia="仿宋_GB2312"/>
                <w:color w:val="000000"/>
                <w:sz w:val="24"/>
              </w:rPr>
            </w:pPr>
            <w:r>
              <w:rPr>
                <w:rFonts w:hint="eastAsia" w:ascii="仿宋_GB2312" w:hAnsi="Calibri" w:eastAsia="仿宋_GB2312"/>
                <w:color w:val="000000"/>
                <w:sz w:val="24"/>
              </w:rPr>
              <w:t>安全风险是人们在工作中普遍遇到的一种风险。目前，国内外已有大量关于安全管理相关的法律法规。如20世纪美国以《职业安全和健康法》作为主体法构建了健全的安全生产法律体系。在职业健康安全领域，我国专门制定了一系列职业健康安全相关法律法规（如劳动法、安全生产法、职业病防治法、消防法、道路交通安全法、矿山安全法等）。这些法律法规所确立的职业健康安全制度和要求是组织建立和保持职业健康安全管理体系所必须考虑的制度、政策和技术背景。我国在1982年全国人民代表大会上将“加强劳动保护、改善劳动条件”安全生产管理的基本原则写入宪法。1998年，国家将原劳动部负责安全生产综合管理职能划归国家经贸委，国家经贸委将法名改为《职业安全法》。2001年，国家质量监督检验检疫总局颁发《职业健康安全管理体系规范》（GB/T 28001-2001），第一次以国家规范的形式提出“职业健康安全”。2002年全国人大常委会审议通过《中华人民共和国安全生产法》，该法令成为我国安全生产管理第一部综合性大法。2014年全国人大常委会第二次审议表决通过的《关于修改〈中华人民共和国安全生产法〉的决定》提出：“安全生产工作应当以人为本，坚持安全发展，坚持安全第一、预防为主、综合治理的方针”和“生产经营单位负责、职工参与、政府监管、行业自律和社会监督”安全生产管理新机制。2020年3月6日,我国实施了新的《职业健康安全管理体系要求及使用指南》（GB/T 45001-2020/ISO 45001:2018）进一步明确了对职业健康安全管理的要求，并给出了其使用指南，以使组织能够通过防止与工作相关的伤害和健康损害以及主动改进其职业健康安全绩效来提供安全和健康的工作场所。2021年，中华人民共和国第十三届全国人民代表大会常务委员会第二十九次会议通过《全国人民代表大会常务委员会关于修改〈中华人民共和国安全生产法〉的决定》，由国家主席习近平发布第八十八号主席令正式公布，自2021年9月1日起施行。在此基础上各省市相继出台相应安全管理办法，如</w:t>
            </w:r>
            <w:r>
              <w:rPr>
                <w:rFonts w:hint="eastAsia" w:ascii="仿宋_GB2312" w:eastAsia="仿宋_GB2312"/>
                <w:color w:val="000000"/>
                <w:sz w:val="24"/>
              </w:rPr>
              <w:t>江苏省、湖北省、浙江省等地相继印发了《江苏省安全生产条例》、</w:t>
            </w:r>
            <w:r>
              <w:rPr>
                <w:rFonts w:hint="eastAsia" w:ascii="仿宋_GB2312" w:hAnsi="Calibri" w:eastAsia="仿宋_GB2312"/>
                <w:color w:val="000000"/>
                <w:sz w:val="24"/>
              </w:rPr>
              <w:t>《湖北省安全生产条例（修订草案）》</w:t>
            </w:r>
            <w:r>
              <w:rPr>
                <w:rFonts w:hint="eastAsia" w:ascii="仿宋_GB2312" w:eastAsia="仿宋_GB2312"/>
                <w:color w:val="000000"/>
                <w:sz w:val="24"/>
              </w:rPr>
              <w:t>、</w:t>
            </w:r>
            <w:r>
              <w:rPr>
                <w:rFonts w:hint="eastAsia" w:ascii="仿宋_GB2312" w:hAnsi="Calibri" w:eastAsia="仿宋_GB2312"/>
                <w:color w:val="000000"/>
                <w:sz w:val="24"/>
              </w:rPr>
              <w:t>《浙江省安全生产条例》，明确了安全管理的职责分工，并统一了管理标准。GB/T 13861-2022《生产过程危险和有害因素分类与代码》给出了生产过程中主要危险和有害因素的分类原则、代码结构及分类与代码。</w:t>
            </w:r>
          </w:p>
          <w:p w14:paraId="4AD47DF0">
            <w:pPr>
              <w:spacing w:line="400" w:lineRule="atLeast"/>
              <w:ind w:firstLine="480" w:firstLineChars="200"/>
              <w:rPr>
                <w:rFonts w:hint="eastAsia" w:ascii="仿宋_GB2312" w:hAnsi="Calibri" w:eastAsia="仿宋_GB2312"/>
                <w:color w:val="000000"/>
                <w:sz w:val="24"/>
              </w:rPr>
            </w:pPr>
            <w:r>
              <w:rPr>
                <w:rFonts w:hint="eastAsia" w:ascii="仿宋_GB2312" w:hAnsi="Calibri" w:eastAsia="仿宋_GB2312"/>
                <w:color w:val="000000"/>
                <w:sz w:val="24"/>
              </w:rPr>
              <w:t>安全风险存在于各行各业,生态环境监测行业也不例外。生态环境监测工作存在的安全风险可对从业人员的身心健康造成不同程度的影响,这是长期以来备受关注的热点问题。目前，国家层面已制订较多关于实验室安全管理等标准规范。如GB/T 27476《检测实验室安全》系列标准针对可能会涉及的电气、机械、非电离辐射、电离辐射、化学和微生物等危险因素制定了检测实验室安全标准，旨在提升实验室的安全管理能力和安全技术能力，降低实验室的安全风险。GB/T42549-2023《海洋调查船舶实验室安全管理规范》规定了我国海洋调查船舶实验室安全管理的人员安全、设施和环境安全、仪器设备安全、物料安全、危化品安全、废弃物安全、应急预案、安全检查、危险源辨识等技术要求。此外，各省也陆续发布了实验室安全管理、危险化学品安全管理等相关的地方标准。如湖南省地方标准DB43/T 2304-2022《检验检测机构安全管理规范》规定了检验检测机构安全管理的机构和人员、场所环境与设备设施和管理体系。陕西省地方标准DB61/T 1467-2021《检验检测机构危险化学品安全管理规范》规定了检验检测机构危险化学品安全管理的术语和定义、基本要求、申请采购、验收入库、储存领用和应急处置等内容。辽宁省地方标准DB21/T 3582-2022《生态环境监测生物安全管理技术导则》规定了生态环境监测过程生物安全风险等级分级、管理要求、人员要求、实验室要求、设备材料要求、现场监测要求、监测过程防护要求和应急处置措施等内容。鹤壁市地方标准DB 4106/T 58-2022《化学实验室危险品安全管理规范》规定了化学实验室危险品安全管理的基本要求、采购、验收、安全标签与标志、储存、领用、安全检查和废弃化学品处置。黑龙江省地方标准DB23/T 3467-2023《汉麻检验检测实验室安全管理规范》规定了汉麻检验检测实验室安全管理的术语和定义、基本原则、组织机构、管理要求和质量管理。昌吉回族自治州地方标准DB 6523/T 350-2023《农产品检测实验室危险化学品安全管理规范》规定了农产品检测实验室危险化学品安全管理的术语和定义、管理制度、人员管理、设备设施、使用管理、储存安全、废弃化学品安全管理的要求。</w:t>
            </w:r>
          </w:p>
          <w:p w14:paraId="5250BC3D">
            <w:pPr>
              <w:pStyle w:val="3"/>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textAlignment w:val="auto"/>
              <w:rPr>
                <w:rFonts w:hint="eastAsia" w:ascii="仿宋_GB2312" w:hAnsi="Calibri" w:eastAsia="仿宋_GB2312"/>
                <w:color w:val="000000"/>
                <w:sz w:val="24"/>
              </w:rPr>
            </w:pPr>
            <w:r>
              <w:rPr>
                <w:rFonts w:hint="eastAsia" w:ascii="仿宋_GB2312" w:hAnsi="Calibri" w:eastAsia="仿宋_GB2312"/>
                <w:color w:val="000000"/>
                <w:sz w:val="24"/>
              </w:rPr>
              <w:t>由于生态环境监测是运用物理、化学、生物、计算机等不同技术手段监控、测定、分析环境质量及其变化趋势，涉及到不同监测类别和监测环节。按监测介质对象分类,生态环境监测可分为水和废水监测、空气和废气监测、土壤监测、固体废物监测、生物监测、生态监测、噪声和振动监测等。监测场景或监测类别涉及到野外采样和现场监测、实验室分析、环境空气和地表水自动监测，以及应急监测等不同形式的监测。从业人员不仅要在室外采集样品甚至高空作业,还要在实验室内借助实验仪器、化学试剂等进行样品的化验分析,存在较多的安全隐患,需同时兼顾危险化学品、易制毒化学品、易制爆危险化学品的管理,危险废物的转移,以及生物安全和辐射防护等方面的安全与管理问题。目前已经发布实验室安全管理相关的国家和地方标准，基本上都是从管理制度、工作流程或“机构、人员、场所、设备、物料”等管理体系方面对环境监测安全管理进行了规定。但实际监测工作中，从业人员更多的是在现场监测、实验室分析、自动监测或应急监测等工作场景中，目前，已发布的国家或地方标准尚未见专门针对于生态环境监测机构在不同监测场景或监测类型下的安全管理技术规范。</w:t>
            </w:r>
          </w:p>
          <w:p w14:paraId="3BC1D16E">
            <w:pPr>
              <w:pStyle w:val="3"/>
              <w:keepNext w:val="0"/>
              <w:keepLines w:val="0"/>
              <w:pageBreakBefore w:val="0"/>
              <w:widowControl w:val="0"/>
              <w:kinsoku/>
              <w:wordWrap/>
              <w:overflowPunct/>
              <w:topLinePunct w:val="0"/>
              <w:autoSpaceDE/>
              <w:autoSpaceDN/>
              <w:bidi w:val="0"/>
              <w:adjustRightInd/>
              <w:snapToGrid/>
              <w:spacing w:line="440" w:lineRule="exact"/>
              <w:ind w:left="0" w:leftChars="0" w:firstLine="0" w:firstLineChars="0"/>
              <w:textAlignment w:val="auto"/>
              <w:rPr>
                <w:rFonts w:hint="eastAsia" w:cs="Times New Roman"/>
                <w:b/>
                <w:bCs/>
                <w:color w:val="auto"/>
                <w:sz w:val="24"/>
                <w:szCs w:val="28"/>
                <w:lang w:val="en-US" w:eastAsia="zh-CN"/>
              </w:rPr>
            </w:pPr>
            <w:r>
              <w:rPr>
                <w:rFonts w:hint="eastAsia" w:cs="Times New Roman"/>
                <w:b/>
                <w:bCs/>
                <w:color w:val="auto"/>
                <w:sz w:val="24"/>
                <w:szCs w:val="28"/>
                <w:lang w:val="en-US" w:eastAsia="zh-CN"/>
              </w:rPr>
              <w:t>3.2与相关法律法规、产业政策的符合性</w:t>
            </w:r>
          </w:p>
          <w:p w14:paraId="441DA7D6">
            <w:pPr>
              <w:spacing w:line="400" w:lineRule="atLeast"/>
              <w:ind w:firstLine="480" w:firstLineChars="200"/>
              <w:rPr>
                <w:rFonts w:hint="eastAsia" w:ascii="仿宋_GB2312" w:hAnsi="Calibri" w:eastAsia="仿宋_GB2312"/>
                <w:color w:val="000000"/>
                <w:sz w:val="24"/>
              </w:rPr>
            </w:pPr>
            <w:r>
              <w:rPr>
                <w:rFonts w:hint="eastAsia" w:ascii="仿宋_GB2312" w:hAnsi="Calibri" w:eastAsia="仿宋_GB2312"/>
                <w:color w:val="000000"/>
                <w:sz w:val="24"/>
              </w:rPr>
              <w:t>2020年11月25日，国务院总理李克强主持召开国务院常务会议，通过《中华人民共和国安全生产法(修正草案)》。2021年6月10日，《全国人民代表大会常务委员会关于修改〈中华人民共和国安全生产法〉的决定》在中华人民共和国第十三届全国人民代表大会常务委员会第二十九次会议上正式通过，其中第一章第九条明确指出国务院和县级以上地方各级人民政府应当加强对安全生产工作的领导，建立健全安全生产工作协调机制，支持、督促各有关部门依法履行安全生产监督管理职责，及时协调、解决安全生产监督管理中存在的重大问题。同时，第二章第二十一条中明确指出生产经营单位的主要负责人对本单位安全生产工作负有组织制定并实施本单位安全生产规章制度和操作规程的责任。2022年7月，湖北省十三届人大常委会第三十二次会议对《湖北省安全生产条例（修订草案）》进行了审议。为了进一步推进科学立法、民主立法、依法立法，提高立法质量，向社会公开征集意见。此次《条例》的修订，是湖北省深入贯彻落实习近平总书记关于安全生产工作重要论述和指示批示精神、统筹发展和安全的具体行动，是推进新修订的《安全生产法》落实落地的重要举措，对于进一步健全安全生产体制机制，落实生产经营单位安全生产主体责任，完善安全生产保障措施，强化安全生产监督管理，促进全省安全生产形势持续稳定好转具有十分重要的意义。</w:t>
            </w:r>
          </w:p>
          <w:p w14:paraId="424FD8CA">
            <w:pPr>
              <w:pStyle w:val="3"/>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default"/>
                <w:b w:val="0"/>
                <w:bCs w:val="0"/>
                <w:lang w:val="en-US" w:eastAsia="zh-CN"/>
              </w:rPr>
            </w:pPr>
            <w:r>
              <w:rPr>
                <w:rFonts w:hint="eastAsia" w:ascii="仿宋_GB2312" w:hAnsi="Calibri" w:eastAsia="仿宋_GB2312"/>
                <w:color w:val="000000"/>
                <w:sz w:val="24"/>
              </w:rPr>
              <w:t>制定生态环境监测机构安全管理技术规程是生态环境</w:t>
            </w:r>
            <w:r>
              <w:rPr>
                <w:rFonts w:hint="eastAsia" w:ascii="仿宋_GB2312" w:eastAsia="仿宋_GB2312"/>
                <w:color w:val="000000"/>
                <w:sz w:val="24"/>
              </w:rPr>
              <w:t>监测工作健康发展的关键和生命线，不仅关系着生态环境监测工作的公信力，也关系着人民生命与财产的安全，更关系着经济发展与社会稳定的大局。而制定规范化的安全管理规程能有效降低监测工作安全隐患，能为我省生产安全防治工作提供有力专业支持和决策依据，符合我省环境监测工作更为专业化，效率化发展方向。</w:t>
            </w:r>
          </w:p>
        </w:tc>
      </w:tr>
      <w:tr w14:paraId="7C273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5" w:hRule="atLeast"/>
          <w:jc w:val="center"/>
        </w:trPr>
        <w:tc>
          <w:tcPr>
            <w:tcW w:w="5000" w:type="pct"/>
            <w:gridSpan w:val="4"/>
            <w:noWrap w:val="0"/>
            <w:vAlign w:val="top"/>
          </w:tcPr>
          <w:p w14:paraId="4A6679C2">
            <w:pPr>
              <w:numPr>
                <w:ilvl w:val="0"/>
                <w:numId w:val="2"/>
              </w:numPr>
              <w:adjustRightInd w:val="0"/>
              <w:snapToGrid w:val="0"/>
              <w:spacing w:line="500" w:lineRule="exact"/>
              <w:ind w:left="0" w:leftChars="0" w:firstLine="0" w:firstLineChars="0"/>
              <w:rPr>
                <w:rFonts w:ascii="Times New Roman" w:hAnsi="Times New Roman" w:eastAsia="CESI仿宋-GB2312"/>
                <w:color w:val="auto"/>
                <w:sz w:val="28"/>
                <w:szCs w:val="28"/>
              </w:rPr>
            </w:pPr>
            <w:r>
              <w:rPr>
                <w:rFonts w:ascii="Times New Roman" w:hAnsi="Times New Roman" w:eastAsia="CESI仿宋-GB2312"/>
                <w:color w:val="auto"/>
                <w:sz w:val="28"/>
                <w:szCs w:val="28"/>
              </w:rPr>
              <w:t>风险分析</w:t>
            </w:r>
          </w:p>
          <w:p w14:paraId="7F21BF40">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Calibri" w:eastAsia="仿宋_GB2312" w:cs="Times New Roman"/>
                <w:kern w:val="2"/>
                <w:sz w:val="24"/>
                <w:szCs w:val="20"/>
                <w:lang w:val="en-US" w:eastAsia="zh-CN" w:bidi="ar-SA"/>
              </w:rPr>
            </w:pPr>
            <w:r>
              <w:rPr>
                <w:rFonts w:hint="eastAsia" w:ascii="仿宋_GB2312" w:hAnsi="Calibri"/>
                <w:color w:val="000000"/>
                <w:sz w:val="24"/>
                <w:lang w:val="en-US" w:eastAsia="zh-CN"/>
              </w:rPr>
              <w:t>本规范根据</w:t>
            </w:r>
            <w:r>
              <w:rPr>
                <w:rFonts w:hint="eastAsia" w:ascii="仿宋_GB2312" w:hAnsi="Calibri" w:eastAsia="仿宋_GB2312"/>
                <w:color w:val="000000"/>
                <w:sz w:val="24"/>
              </w:rPr>
              <w:t>实际生态环境监测工作过程中存在的安全风险，</w:t>
            </w:r>
            <w:r>
              <w:rPr>
                <w:rFonts w:hint="eastAsia" w:ascii="仿宋_GB2312" w:hAnsi="Calibri"/>
                <w:color w:val="000000"/>
                <w:sz w:val="24"/>
                <w:lang w:val="en-US" w:eastAsia="zh-CN"/>
              </w:rPr>
              <w:t>对危险源进行识别、评价并采取控制措施。</w:t>
            </w:r>
            <w:r>
              <w:rPr>
                <w:rFonts w:hint="eastAsia" w:ascii="仿宋_GB2312" w:hAnsi="Calibri" w:eastAsia="仿宋_GB2312"/>
                <w:color w:val="000000"/>
                <w:sz w:val="24"/>
              </w:rPr>
              <w:t>在生态环境监测工作过程中，</w:t>
            </w:r>
            <w:r>
              <w:rPr>
                <w:rFonts w:hint="eastAsia" w:ascii="仿宋_GB2312" w:hAnsi="Calibri"/>
                <w:color w:val="000000"/>
                <w:sz w:val="24"/>
                <w:lang w:val="en-US" w:eastAsia="zh-CN"/>
              </w:rPr>
              <w:t>部分人员未</w:t>
            </w:r>
            <w:r>
              <w:rPr>
                <w:rFonts w:hint="eastAsia" w:ascii="仿宋_GB2312" w:hAnsi="Calibri" w:eastAsia="仿宋_GB2312"/>
                <w:color w:val="000000"/>
                <w:sz w:val="24"/>
              </w:rPr>
              <w:t>意识到</w:t>
            </w:r>
            <w:r>
              <w:rPr>
                <w:rFonts w:hint="eastAsia" w:ascii="仿宋_GB2312" w:hAnsi="Calibri"/>
                <w:color w:val="000000"/>
                <w:sz w:val="24"/>
                <w:lang w:val="en-US" w:eastAsia="zh-CN"/>
              </w:rPr>
              <w:t>存在</w:t>
            </w:r>
            <w:r>
              <w:rPr>
                <w:rFonts w:hint="eastAsia" w:ascii="仿宋_GB2312" w:hAnsi="Calibri" w:eastAsia="仿宋_GB2312"/>
                <w:color w:val="000000"/>
                <w:sz w:val="24"/>
              </w:rPr>
              <w:t>的诸多安全风险，</w:t>
            </w:r>
            <w:r>
              <w:rPr>
                <w:rFonts w:hint="eastAsia" w:ascii="仿宋_GB2312" w:hAnsi="Calibri"/>
                <w:color w:val="000000"/>
                <w:sz w:val="24"/>
                <w:lang w:val="en-US" w:eastAsia="zh-CN"/>
              </w:rPr>
              <w:t>没有采取</w:t>
            </w:r>
            <w:r>
              <w:rPr>
                <w:rFonts w:hint="eastAsia" w:ascii="仿宋_GB2312" w:hAnsi="Calibri" w:eastAsia="仿宋_GB2312"/>
                <w:color w:val="000000"/>
                <w:sz w:val="24"/>
              </w:rPr>
              <w:t>对应的防控措施，</w:t>
            </w:r>
            <w:r>
              <w:rPr>
                <w:rFonts w:hint="eastAsia" w:ascii="仿宋_GB2312" w:hAnsi="Calibri" w:eastAsia="仿宋_GB2312" w:cs="Times New Roman"/>
                <w:kern w:val="2"/>
                <w:sz w:val="24"/>
                <w:szCs w:val="20"/>
                <w:lang w:val="en-US" w:eastAsia="zh-CN" w:bidi="ar-SA"/>
              </w:rPr>
              <w:t>设备设施无法达到规范要求，</w:t>
            </w:r>
            <w:r>
              <w:rPr>
                <w:rFonts w:hint="eastAsia" w:ascii="仿宋_GB2312" w:hAnsi="Calibri" w:cs="Times New Roman"/>
                <w:kern w:val="2"/>
                <w:sz w:val="24"/>
                <w:szCs w:val="20"/>
                <w:lang w:val="en-US" w:eastAsia="zh-CN" w:bidi="ar-SA"/>
              </w:rPr>
              <w:t>安全</w:t>
            </w:r>
            <w:r>
              <w:rPr>
                <w:rFonts w:hint="eastAsia" w:ascii="仿宋_GB2312" w:hAnsi="Calibri" w:eastAsia="仿宋_GB2312" w:cs="Times New Roman"/>
                <w:kern w:val="2"/>
                <w:sz w:val="24"/>
                <w:szCs w:val="20"/>
                <w:lang w:val="en-US" w:eastAsia="zh-CN" w:bidi="ar-SA"/>
              </w:rPr>
              <w:t>管理</w:t>
            </w:r>
            <w:r>
              <w:rPr>
                <w:rFonts w:hint="eastAsia" w:ascii="仿宋_GB2312" w:hAnsi="Calibri" w:cs="Times New Roman"/>
                <w:kern w:val="2"/>
                <w:sz w:val="24"/>
                <w:szCs w:val="20"/>
                <w:lang w:val="en-US" w:eastAsia="zh-CN" w:bidi="ar-SA"/>
              </w:rPr>
              <w:t>制度</w:t>
            </w:r>
            <w:r>
              <w:rPr>
                <w:rFonts w:hint="eastAsia" w:ascii="仿宋_GB2312" w:hAnsi="Calibri" w:eastAsia="仿宋_GB2312" w:cs="Times New Roman"/>
                <w:kern w:val="2"/>
                <w:sz w:val="24"/>
                <w:szCs w:val="20"/>
                <w:lang w:val="en-US" w:eastAsia="zh-CN" w:bidi="ar-SA"/>
              </w:rPr>
              <w:t>不能满足要求，</w:t>
            </w:r>
            <w:r>
              <w:rPr>
                <w:rFonts w:hint="eastAsia" w:ascii="仿宋_GB2312" w:hAnsi="Calibri" w:cs="Times New Roman"/>
                <w:kern w:val="2"/>
                <w:sz w:val="24"/>
                <w:szCs w:val="20"/>
                <w:lang w:val="en-US" w:eastAsia="zh-CN" w:bidi="ar-SA"/>
              </w:rPr>
              <w:t>生态环境监测机构</w:t>
            </w:r>
            <w:r>
              <w:rPr>
                <w:rFonts w:hint="eastAsia" w:ascii="仿宋_GB2312" w:hAnsi="Calibri" w:eastAsia="仿宋_GB2312" w:cs="Times New Roman"/>
                <w:kern w:val="2"/>
                <w:sz w:val="24"/>
                <w:szCs w:val="20"/>
                <w:lang w:val="en-US" w:eastAsia="zh-CN" w:bidi="ar-SA"/>
              </w:rPr>
              <w:t>就不能按照</w:t>
            </w:r>
            <w:r>
              <w:rPr>
                <w:rFonts w:hint="eastAsia" w:ascii="仿宋_GB2312" w:hAnsi="Calibri" w:cs="Times New Roman"/>
                <w:kern w:val="2"/>
                <w:sz w:val="24"/>
                <w:szCs w:val="20"/>
                <w:lang w:val="en-US" w:eastAsia="zh-CN" w:bidi="ar-SA"/>
              </w:rPr>
              <w:t>安全管理技术</w:t>
            </w:r>
            <w:r>
              <w:rPr>
                <w:rFonts w:hint="eastAsia" w:ascii="仿宋_GB2312" w:hAnsi="Calibri" w:eastAsia="仿宋_GB2312" w:cs="Times New Roman"/>
                <w:kern w:val="2"/>
                <w:sz w:val="24"/>
                <w:szCs w:val="20"/>
                <w:lang w:val="en-US" w:eastAsia="zh-CN" w:bidi="ar-SA"/>
              </w:rPr>
              <w:t>规范</w:t>
            </w:r>
            <w:r>
              <w:rPr>
                <w:rFonts w:hint="eastAsia" w:ascii="仿宋_GB2312" w:hAnsi="Calibri" w:cs="Times New Roman"/>
                <w:kern w:val="2"/>
                <w:sz w:val="24"/>
                <w:szCs w:val="20"/>
                <w:lang w:val="en-US" w:eastAsia="zh-CN" w:bidi="ar-SA"/>
              </w:rPr>
              <w:t>要求保障日常</w:t>
            </w:r>
            <w:r>
              <w:rPr>
                <w:rFonts w:hint="eastAsia" w:ascii="仿宋_GB2312" w:hAnsi="Calibri" w:eastAsia="仿宋_GB2312" w:cs="Times New Roman"/>
                <w:kern w:val="2"/>
                <w:sz w:val="24"/>
                <w:szCs w:val="20"/>
                <w:lang w:val="en-US" w:eastAsia="zh-CN" w:bidi="ar-SA"/>
              </w:rPr>
              <w:t>工作。</w:t>
            </w:r>
          </w:p>
          <w:p w14:paraId="2147A136">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Calibri" w:eastAsia="仿宋_GB2312" w:cs="Times New Roman"/>
                <w:kern w:val="2"/>
                <w:sz w:val="24"/>
                <w:szCs w:val="20"/>
                <w:lang w:val="en-US" w:eastAsia="zh-CN" w:bidi="ar-SA"/>
              </w:rPr>
            </w:pPr>
            <w:r>
              <w:rPr>
                <w:rFonts w:hint="eastAsia"/>
                <w:highlight w:val="none"/>
                <w:lang w:val="en-US" w:eastAsia="zh-CN"/>
              </w:rPr>
              <w:t>本规范对</w:t>
            </w:r>
            <w:r>
              <w:rPr>
                <w:rFonts w:hint="eastAsia" w:ascii="仿宋_GB2312" w:hAnsi="Calibri" w:cs="Times New Roman"/>
                <w:kern w:val="2"/>
                <w:sz w:val="24"/>
                <w:szCs w:val="20"/>
                <w:lang w:val="en-US" w:eastAsia="zh-CN" w:bidi="ar-SA"/>
              </w:rPr>
              <w:t>生态环境监测安全管理提出要求，是基于湖北省生态环境监测系统安全管理工作制定的</w:t>
            </w:r>
            <w:r>
              <w:rPr>
                <w:rFonts w:hint="eastAsia"/>
                <w:highlight w:val="none"/>
                <w:lang w:val="en-US" w:eastAsia="zh-CN"/>
              </w:rPr>
              <w:t>。并对生态环境监测活动中的危险源进行辨识，通过风险评价明确工作中的风险隐患，给出控制措施</w:t>
            </w:r>
            <w:r>
              <w:rPr>
                <w:rFonts w:hint="eastAsia" w:ascii="仿宋_GB2312" w:hAnsi="Calibri" w:eastAsia="仿宋_GB2312" w:cs="Times New Roman"/>
                <w:kern w:val="2"/>
                <w:sz w:val="24"/>
                <w:szCs w:val="20"/>
                <w:lang w:val="en-US" w:eastAsia="zh-CN" w:bidi="ar-SA"/>
              </w:rPr>
              <w:t>，需要</w:t>
            </w:r>
            <w:r>
              <w:rPr>
                <w:rFonts w:hint="eastAsia" w:ascii="仿宋_GB2312" w:hAnsi="Calibri" w:cs="Times New Roman"/>
                <w:kern w:val="2"/>
                <w:sz w:val="24"/>
                <w:szCs w:val="20"/>
                <w:lang w:val="en-US" w:eastAsia="zh-CN" w:bidi="ar-SA"/>
              </w:rPr>
              <w:t>环境监测</w:t>
            </w:r>
            <w:r>
              <w:rPr>
                <w:rFonts w:hint="eastAsia" w:ascii="仿宋_GB2312" w:hAnsi="Calibri" w:eastAsia="仿宋_GB2312" w:cs="Times New Roman"/>
                <w:kern w:val="2"/>
                <w:sz w:val="24"/>
                <w:szCs w:val="20"/>
                <w:lang w:val="en-US" w:eastAsia="zh-CN" w:bidi="ar-SA"/>
              </w:rPr>
              <w:t>人员</w:t>
            </w:r>
            <w:r>
              <w:rPr>
                <w:rFonts w:hint="eastAsia" w:ascii="仿宋_GB2312" w:hAnsi="Calibri" w:cs="Times New Roman"/>
                <w:kern w:val="2"/>
                <w:sz w:val="24"/>
                <w:szCs w:val="20"/>
                <w:lang w:val="en-US" w:eastAsia="zh-CN" w:bidi="ar-SA"/>
              </w:rPr>
              <w:t>参照安全管理技术规范进行安全风险排查</w:t>
            </w:r>
            <w:r>
              <w:rPr>
                <w:rFonts w:hint="eastAsia" w:ascii="仿宋_GB2312" w:hAnsi="Calibri" w:eastAsia="仿宋_GB2312" w:cs="Times New Roman"/>
                <w:kern w:val="2"/>
                <w:sz w:val="24"/>
                <w:szCs w:val="20"/>
                <w:lang w:val="en-US" w:eastAsia="zh-CN" w:bidi="ar-SA"/>
              </w:rPr>
              <w:t>，积极查找</w:t>
            </w:r>
            <w:r>
              <w:rPr>
                <w:rFonts w:hint="eastAsia" w:ascii="仿宋_GB2312" w:hAnsi="Calibri" w:cs="Times New Roman"/>
                <w:kern w:val="2"/>
                <w:sz w:val="24"/>
                <w:szCs w:val="20"/>
                <w:lang w:val="en-US" w:eastAsia="zh-CN" w:bidi="ar-SA"/>
              </w:rPr>
              <w:t>安全隐患</w:t>
            </w:r>
            <w:r>
              <w:rPr>
                <w:rFonts w:hint="eastAsia" w:ascii="仿宋_GB2312" w:hAnsi="Calibri" w:eastAsia="仿宋_GB2312" w:cs="Times New Roman"/>
                <w:kern w:val="2"/>
                <w:sz w:val="24"/>
                <w:szCs w:val="20"/>
                <w:lang w:val="en-US" w:eastAsia="zh-CN" w:bidi="ar-SA"/>
              </w:rPr>
              <w:t>并整改。</w:t>
            </w:r>
          </w:p>
          <w:p w14:paraId="3A68000A">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lang w:val="en-US" w:eastAsia="zh-CN"/>
              </w:rPr>
            </w:pPr>
            <w:r>
              <w:rPr>
                <w:rFonts w:hint="eastAsia" w:ascii="仿宋_GB2312" w:hAnsi="Calibri" w:eastAsia="仿宋_GB2312"/>
                <w:color w:val="000000"/>
                <w:sz w:val="24"/>
              </w:rPr>
              <w:t>本</w:t>
            </w:r>
            <w:r>
              <w:rPr>
                <w:rFonts w:hint="eastAsia" w:ascii="仿宋_GB2312" w:hAnsi="Calibri"/>
                <w:color w:val="000000"/>
                <w:sz w:val="24"/>
                <w:lang w:val="en-US" w:eastAsia="zh-CN"/>
              </w:rPr>
              <w:t>规范</w:t>
            </w:r>
            <w:r>
              <w:rPr>
                <w:rFonts w:hint="eastAsia" w:ascii="仿宋_GB2312" w:hAnsi="Calibri" w:eastAsia="仿宋_GB2312"/>
                <w:color w:val="000000"/>
                <w:sz w:val="24"/>
              </w:rPr>
              <w:t>根据各级生态环境保护管理部门、系统内监测机构、社会化监测机构、相关科研院所的工作实际和反馈意见，采用成熟、实用并经实践检验具有可操作性的技术内容和评价方法，在充分依据国家相关标准和规范的情况下，做到具有专业性、完整性和前瞻性，使整个安全规程便于理解、实用性强，确保制定的安全</w:t>
            </w:r>
            <w:r>
              <w:rPr>
                <w:rFonts w:hint="eastAsia" w:ascii="仿宋_GB2312" w:hAnsi="Calibri"/>
                <w:color w:val="000000"/>
                <w:sz w:val="24"/>
                <w:lang w:val="en-US" w:eastAsia="zh-CN"/>
              </w:rPr>
              <w:t>管理技术规范</w:t>
            </w:r>
            <w:r>
              <w:rPr>
                <w:rFonts w:hint="eastAsia" w:ascii="仿宋_GB2312" w:hAnsi="Calibri" w:eastAsia="仿宋_GB2312"/>
                <w:color w:val="000000"/>
                <w:sz w:val="24"/>
              </w:rPr>
              <w:t>对我省环境监测机构的安全管理工作具有普遍的指导意义。</w:t>
            </w:r>
          </w:p>
        </w:tc>
      </w:tr>
      <w:tr w14:paraId="3F71F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5000" w:type="pct"/>
            <w:gridSpan w:val="4"/>
            <w:noWrap w:val="0"/>
            <w:vAlign w:val="top"/>
          </w:tcPr>
          <w:p w14:paraId="4EBA864B">
            <w:pPr>
              <w:numPr>
                <w:ilvl w:val="0"/>
                <w:numId w:val="2"/>
              </w:numPr>
              <w:adjustRightInd w:val="0"/>
              <w:snapToGrid w:val="0"/>
              <w:spacing w:line="500" w:lineRule="exact"/>
              <w:ind w:left="0" w:leftChars="0" w:firstLine="0" w:firstLineChars="0"/>
              <w:rPr>
                <w:rFonts w:ascii="Times New Roman" w:hAnsi="Times New Roman" w:eastAsia="CESI仿宋-GB2312" w:cs="Times New Roman"/>
                <w:color w:val="000000"/>
                <w:sz w:val="28"/>
                <w:szCs w:val="28"/>
              </w:rPr>
            </w:pPr>
            <w:r>
              <w:rPr>
                <w:rFonts w:ascii="Times New Roman" w:hAnsi="Times New Roman" w:eastAsia="CESI仿宋-GB2312" w:cs="Times New Roman"/>
                <w:color w:val="000000"/>
                <w:sz w:val="28"/>
                <w:szCs w:val="28"/>
              </w:rPr>
              <w:t>宣贯实施计划</w:t>
            </w:r>
          </w:p>
          <w:p w14:paraId="1984B14B">
            <w:pPr>
              <w:pStyle w:val="3"/>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lang w:val="en-US" w:eastAsia="zh-CN"/>
              </w:rPr>
            </w:pPr>
            <w:r>
              <w:rPr>
                <w:rFonts w:hint="default"/>
                <w:lang w:val="en-US" w:eastAsia="zh-CN"/>
              </w:rPr>
              <w:t>202</w:t>
            </w:r>
            <w:r>
              <w:rPr>
                <w:rFonts w:hint="eastAsia"/>
                <w:lang w:val="en-US" w:eastAsia="zh-CN"/>
              </w:rPr>
              <w:t>5</w:t>
            </w:r>
            <w:r>
              <w:rPr>
                <w:rFonts w:hint="default"/>
                <w:lang w:val="en-US" w:eastAsia="zh-CN"/>
              </w:rPr>
              <w:t>年</w:t>
            </w:r>
            <w:r>
              <w:rPr>
                <w:rFonts w:hint="eastAsia"/>
                <w:lang w:val="en-US" w:eastAsia="zh-CN"/>
              </w:rPr>
              <w:t>12月，</w:t>
            </w:r>
            <w:r>
              <w:rPr>
                <w:rFonts w:hint="default"/>
                <w:lang w:val="en-US" w:eastAsia="zh-CN"/>
              </w:rPr>
              <w:t>规范批准后的版本将正式印发给各级环境监测部门和相关</w:t>
            </w:r>
            <w:r>
              <w:rPr>
                <w:rFonts w:hint="eastAsia"/>
                <w:lang w:val="en-US" w:eastAsia="zh-CN"/>
              </w:rPr>
              <w:t>环境</w:t>
            </w:r>
            <w:r>
              <w:rPr>
                <w:rFonts w:hint="default"/>
                <w:lang w:val="en-US" w:eastAsia="zh-CN"/>
              </w:rPr>
              <w:t>监测单位，同期通过线上</w:t>
            </w:r>
            <w:r>
              <w:rPr>
                <w:rFonts w:hint="eastAsia"/>
                <w:lang w:val="en-US" w:eastAsia="zh-CN"/>
              </w:rPr>
              <w:t>和</w:t>
            </w:r>
            <w:r>
              <w:rPr>
                <w:rFonts w:hint="default"/>
                <w:lang w:val="en-US" w:eastAsia="zh-CN"/>
              </w:rPr>
              <w:t>线下方式，在省内组织召开</w:t>
            </w:r>
            <w:r>
              <w:rPr>
                <w:rFonts w:hint="eastAsia"/>
                <w:lang w:val="en-US" w:eastAsia="zh-CN"/>
              </w:rPr>
              <w:t>标准</w:t>
            </w:r>
            <w:r>
              <w:rPr>
                <w:rFonts w:hint="default"/>
                <w:lang w:val="en-US" w:eastAsia="zh-CN"/>
              </w:rPr>
              <w:t>宣贯培训会，逐步</w:t>
            </w:r>
            <w:r>
              <w:rPr>
                <w:rFonts w:hint="eastAsia"/>
                <w:lang w:val="en-US" w:eastAsia="zh-CN"/>
              </w:rPr>
              <w:t>开展生态环境监测安全管理技术</w:t>
            </w:r>
            <w:r>
              <w:rPr>
                <w:rFonts w:hint="default"/>
                <w:lang w:val="en-US" w:eastAsia="zh-CN"/>
              </w:rPr>
              <w:t>规范</w:t>
            </w:r>
            <w:r>
              <w:rPr>
                <w:rFonts w:hint="eastAsia"/>
                <w:lang w:val="en-US" w:eastAsia="zh-CN"/>
              </w:rPr>
              <w:t>的实施</w:t>
            </w:r>
            <w:r>
              <w:rPr>
                <w:rFonts w:hint="default"/>
                <w:lang w:val="en-US" w:eastAsia="zh-CN"/>
              </w:rPr>
              <w:t>工作。</w:t>
            </w:r>
          </w:p>
        </w:tc>
      </w:tr>
      <w:tr w14:paraId="4114F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1" w:hRule="atLeast"/>
          <w:jc w:val="center"/>
        </w:trPr>
        <w:tc>
          <w:tcPr>
            <w:tcW w:w="5000" w:type="pct"/>
            <w:gridSpan w:val="4"/>
            <w:noWrap w:val="0"/>
            <w:vAlign w:val="top"/>
          </w:tcPr>
          <w:p w14:paraId="54BD4751">
            <w:pPr>
              <w:numPr>
                <w:ilvl w:val="0"/>
                <w:numId w:val="2"/>
              </w:numPr>
              <w:adjustRightInd w:val="0"/>
              <w:snapToGrid w:val="0"/>
              <w:spacing w:line="500" w:lineRule="exact"/>
              <w:ind w:left="0" w:leftChars="0" w:firstLine="0" w:firstLineChars="0"/>
              <w:rPr>
                <w:rFonts w:ascii="Times New Roman" w:hAnsi="Times New Roman" w:eastAsia="CESI仿宋-GB2312" w:cs="Times New Roman"/>
                <w:color w:val="000000"/>
                <w:sz w:val="28"/>
                <w:szCs w:val="28"/>
              </w:rPr>
            </w:pPr>
            <w:r>
              <w:rPr>
                <w:rFonts w:ascii="Times New Roman" w:hAnsi="Times New Roman" w:eastAsia="CESI仿宋-GB2312" w:cs="Times New Roman"/>
                <w:color w:val="000000"/>
                <w:sz w:val="28"/>
                <w:szCs w:val="28"/>
              </w:rPr>
              <w:t>专家组：</w:t>
            </w:r>
          </w:p>
          <w:p w14:paraId="31E8C7CE">
            <w:pPr>
              <w:numPr>
                <w:ilvl w:val="0"/>
                <w:numId w:val="0"/>
              </w:numPr>
              <w:adjustRightInd w:val="0"/>
              <w:snapToGrid w:val="0"/>
              <w:spacing w:line="500" w:lineRule="exact"/>
              <w:ind w:leftChars="0" w:firstLine="480" w:firstLineChars="200"/>
              <w:rPr>
                <w:rFonts w:hint="default"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kern w:val="2"/>
                <w:sz w:val="24"/>
                <w:szCs w:val="24"/>
                <w:highlight w:val="none"/>
                <w:lang w:val="en-US" w:eastAsia="zh-CN" w:bidi="ar-SA"/>
              </w:rPr>
              <w:t>本标准编制人员共</w:t>
            </w:r>
            <w:r>
              <w:rPr>
                <w:rFonts w:hint="eastAsia" w:ascii="Times New Roman" w:hAnsi="Times New Roman" w:eastAsia="仿宋_GB2312" w:cs="Times New Roman"/>
                <w:kern w:val="2"/>
                <w:sz w:val="24"/>
                <w:szCs w:val="24"/>
                <w:highlight w:val="none"/>
                <w:lang w:val="en-US" w:eastAsia="zh-CN" w:bidi="ar-SA"/>
              </w:rPr>
              <w:t>15</w:t>
            </w:r>
            <w:r>
              <w:rPr>
                <w:rFonts w:hint="default" w:ascii="Times New Roman" w:hAnsi="Times New Roman" w:eastAsia="仿宋_GB2312" w:cs="Times New Roman"/>
                <w:kern w:val="2"/>
                <w:sz w:val="24"/>
                <w:szCs w:val="24"/>
                <w:highlight w:val="none"/>
                <w:lang w:val="en-US" w:eastAsia="zh-CN" w:bidi="ar-SA"/>
              </w:rPr>
              <w:t>人，具体人员分工如下：</w:t>
            </w:r>
          </w:p>
          <w:tbl>
            <w:tblPr>
              <w:tblStyle w:val="11"/>
              <w:tblW w:w="9071" w:type="dxa"/>
              <w:tblInd w:w="-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
              <w:gridCol w:w="1093"/>
              <w:gridCol w:w="2370"/>
              <w:gridCol w:w="1667"/>
              <w:gridCol w:w="3220"/>
            </w:tblGrid>
            <w:tr w14:paraId="46AEE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721" w:type="dxa"/>
                  <w:noWrap w:val="0"/>
                  <w:vAlign w:val="center"/>
                </w:tcPr>
                <w:p w14:paraId="707FD6F8">
                  <w:pPr>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序号</w:t>
                  </w:r>
                </w:p>
              </w:tc>
              <w:tc>
                <w:tcPr>
                  <w:tcW w:w="1093" w:type="dxa"/>
                  <w:noWrap w:val="0"/>
                  <w:vAlign w:val="center"/>
                </w:tcPr>
                <w:p w14:paraId="23639B15">
                  <w:pPr>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姓名</w:t>
                  </w:r>
                </w:p>
              </w:tc>
              <w:tc>
                <w:tcPr>
                  <w:tcW w:w="2370" w:type="dxa"/>
                  <w:noWrap w:val="0"/>
                  <w:vAlign w:val="center"/>
                </w:tcPr>
                <w:p w14:paraId="26A67C36">
                  <w:pPr>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单位</w:t>
                  </w:r>
                </w:p>
              </w:tc>
              <w:tc>
                <w:tcPr>
                  <w:tcW w:w="1667" w:type="dxa"/>
                  <w:noWrap w:val="0"/>
                  <w:vAlign w:val="center"/>
                </w:tcPr>
                <w:p w14:paraId="5FD4A711">
                  <w:pPr>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职务/职称</w:t>
                  </w:r>
                </w:p>
              </w:tc>
              <w:tc>
                <w:tcPr>
                  <w:tcW w:w="3220" w:type="dxa"/>
                  <w:noWrap w:val="0"/>
                  <w:vAlign w:val="center"/>
                </w:tcPr>
                <w:p w14:paraId="5B958C30">
                  <w:pPr>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分工</w:t>
                  </w:r>
                </w:p>
              </w:tc>
            </w:tr>
            <w:tr w14:paraId="03B9A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1" w:hRule="atLeast"/>
              </w:trPr>
              <w:tc>
                <w:tcPr>
                  <w:tcW w:w="721" w:type="dxa"/>
                  <w:noWrap w:val="0"/>
                  <w:vAlign w:val="center"/>
                </w:tcPr>
                <w:p w14:paraId="06E49416">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w:t>
                  </w:r>
                </w:p>
              </w:tc>
              <w:tc>
                <w:tcPr>
                  <w:tcW w:w="1093" w:type="dxa"/>
                  <w:noWrap w:val="0"/>
                  <w:vAlign w:val="center"/>
                </w:tcPr>
                <w:p w14:paraId="74CE7C75">
                  <w:pPr>
                    <w:spacing w:line="400" w:lineRule="atLeast"/>
                    <w:rPr>
                      <w:rFonts w:hint="default" w:ascii="Times New Roman" w:hAnsi="Times New Roman" w:eastAsia="仿宋_GB2312" w:cs="Times New Roman"/>
                      <w:sz w:val="24"/>
                      <w:szCs w:val="24"/>
                    </w:rPr>
                  </w:pPr>
                  <w:r>
                    <w:rPr>
                      <w:rFonts w:hint="eastAsia" w:ascii="仿宋_GB2312" w:hAnsi="Calibri" w:eastAsia="仿宋_GB2312"/>
                      <w:szCs w:val="21"/>
                      <w:highlight w:val="none"/>
                    </w:rPr>
                    <w:t>贺小敏</w:t>
                  </w:r>
                </w:p>
              </w:tc>
              <w:tc>
                <w:tcPr>
                  <w:tcW w:w="2370" w:type="dxa"/>
                  <w:noWrap w:val="0"/>
                  <w:vAlign w:val="center"/>
                </w:tcPr>
                <w:p w14:paraId="2BE259B7">
                  <w:pPr>
                    <w:spacing w:line="400" w:lineRule="atLeast"/>
                    <w:rPr>
                      <w:rFonts w:hint="default" w:ascii="Times New Roman" w:hAnsi="Times New Roman" w:eastAsia="仿宋_GB2312" w:cs="Times New Roman"/>
                      <w:sz w:val="24"/>
                      <w:szCs w:val="24"/>
                    </w:rPr>
                  </w:pPr>
                  <w:r>
                    <w:rPr>
                      <w:rFonts w:hint="eastAsia" w:ascii="仿宋_GB2312" w:hAnsi="Calibri" w:eastAsia="仿宋_GB2312"/>
                      <w:szCs w:val="21"/>
                      <w:highlight w:val="none"/>
                    </w:rPr>
                    <w:t>湖北省</w:t>
                  </w:r>
                  <w:r>
                    <w:rPr>
                      <w:rFonts w:ascii="仿宋_GB2312" w:hAnsi="Calibri" w:eastAsia="仿宋_GB2312"/>
                      <w:szCs w:val="21"/>
                      <w:highlight w:val="none"/>
                    </w:rPr>
                    <w:t>生态环境监测中心站</w:t>
                  </w:r>
                </w:p>
              </w:tc>
              <w:tc>
                <w:tcPr>
                  <w:tcW w:w="1667" w:type="dxa"/>
                  <w:noWrap w:val="0"/>
                  <w:vAlign w:val="center"/>
                </w:tcPr>
                <w:p w14:paraId="77A9459C">
                  <w:pPr>
                    <w:spacing w:line="400" w:lineRule="atLeast"/>
                    <w:rPr>
                      <w:rFonts w:hint="default" w:ascii="Times New Roman" w:hAnsi="Times New Roman" w:eastAsia="仿宋_GB2312" w:cs="Times New Roman"/>
                      <w:sz w:val="24"/>
                      <w:szCs w:val="24"/>
                    </w:rPr>
                  </w:pPr>
                  <w:r>
                    <w:rPr>
                      <w:rFonts w:hint="eastAsia" w:ascii="仿宋_GB2312" w:hAnsi="Calibri" w:eastAsia="仿宋_GB2312"/>
                      <w:szCs w:val="21"/>
                      <w:highlight w:val="none"/>
                    </w:rPr>
                    <w:t>室主任/高工</w:t>
                  </w:r>
                </w:p>
              </w:tc>
              <w:tc>
                <w:tcPr>
                  <w:tcW w:w="3220" w:type="dxa"/>
                  <w:noWrap w:val="0"/>
                  <w:vAlign w:val="center"/>
                </w:tcPr>
                <w:p w14:paraId="611EC7A6">
                  <w:pPr>
                    <w:spacing w:line="400" w:lineRule="atLeast"/>
                    <w:rPr>
                      <w:rFonts w:hint="eastAsia" w:ascii="Times New Roman" w:hAnsi="Times New Roman" w:eastAsia="仿宋_GB2312" w:cs="Times New Roman"/>
                      <w:sz w:val="24"/>
                      <w:szCs w:val="24"/>
                      <w:lang w:eastAsia="zh-CN"/>
                    </w:rPr>
                  </w:pPr>
                  <w:r>
                    <w:rPr>
                      <w:rFonts w:hint="eastAsia" w:ascii="仿宋_GB2312" w:hAnsi="Calibri" w:eastAsia="仿宋_GB2312"/>
                      <w:szCs w:val="21"/>
                      <w:highlight w:val="none"/>
                    </w:rPr>
                    <w:t>标准负责人，总协调，负责标准技术把关，负责项目的具体组织、管理和实施工作。</w:t>
                  </w:r>
                </w:p>
              </w:tc>
            </w:tr>
            <w:tr w14:paraId="621DC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trPr>
              <w:tc>
                <w:tcPr>
                  <w:tcW w:w="721" w:type="dxa"/>
                  <w:noWrap w:val="0"/>
                  <w:vAlign w:val="center"/>
                </w:tcPr>
                <w:p w14:paraId="4D118F6D">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w:t>
                  </w:r>
                </w:p>
              </w:tc>
              <w:tc>
                <w:tcPr>
                  <w:tcW w:w="1093" w:type="dxa"/>
                  <w:noWrap w:val="0"/>
                  <w:vAlign w:val="center"/>
                </w:tcPr>
                <w:p w14:paraId="236FAC2D">
                  <w:pPr>
                    <w:spacing w:line="400" w:lineRule="atLeast"/>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杨立群</w:t>
                  </w:r>
                </w:p>
              </w:tc>
              <w:tc>
                <w:tcPr>
                  <w:tcW w:w="2370" w:type="dxa"/>
                  <w:noWrap w:val="0"/>
                  <w:vAlign w:val="center"/>
                </w:tcPr>
                <w:p w14:paraId="72821F1E">
                  <w:pPr>
                    <w:spacing w:line="400" w:lineRule="atLeast"/>
                    <w:jc w:val="center"/>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湖北省生态环境厅荆州</w:t>
                  </w:r>
                  <w:r>
                    <w:rPr>
                      <w:rFonts w:ascii="仿宋_GB2312" w:hAnsi="Calibri" w:eastAsia="仿宋_GB2312"/>
                      <w:color w:val="000000"/>
                      <w:sz w:val="21"/>
                      <w:szCs w:val="21"/>
                    </w:rPr>
                    <w:t>生态环境监测中心</w:t>
                  </w:r>
                </w:p>
              </w:tc>
              <w:tc>
                <w:tcPr>
                  <w:tcW w:w="1667" w:type="dxa"/>
                  <w:noWrap w:val="0"/>
                  <w:vAlign w:val="center"/>
                </w:tcPr>
                <w:p w14:paraId="51DC2637">
                  <w:pPr>
                    <w:spacing w:line="400" w:lineRule="atLeast"/>
                    <w:jc w:val="center"/>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中心副主任/正高</w:t>
                  </w:r>
                </w:p>
              </w:tc>
              <w:tc>
                <w:tcPr>
                  <w:tcW w:w="3220" w:type="dxa"/>
                  <w:noWrap w:val="0"/>
                  <w:vAlign w:val="center"/>
                </w:tcPr>
                <w:p w14:paraId="6E8CFAC0">
                  <w:pPr>
                    <w:spacing w:line="400" w:lineRule="atLeast"/>
                    <w:jc w:val="left"/>
                    <w:rPr>
                      <w:rFonts w:hint="default" w:ascii="Times New Roman" w:hAnsi="Times New Roman" w:eastAsia="仿宋_GB2312" w:cs="Times New Roman"/>
                      <w:sz w:val="24"/>
                      <w:szCs w:val="24"/>
                      <w:lang w:val="en-US" w:eastAsia="zh-CN"/>
                    </w:rPr>
                  </w:pPr>
                  <w:r>
                    <w:rPr>
                      <w:rFonts w:hint="eastAsia" w:ascii="仿宋_GB2312" w:hAnsi="Calibri" w:eastAsia="仿宋_GB2312"/>
                      <w:color w:val="000000"/>
                      <w:sz w:val="21"/>
                      <w:szCs w:val="21"/>
                    </w:rPr>
                    <w:t>参与规范技术审核。</w:t>
                  </w:r>
                </w:p>
              </w:tc>
            </w:tr>
            <w:tr w14:paraId="232EE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noWrap w:val="0"/>
                  <w:vAlign w:val="center"/>
                </w:tcPr>
                <w:p w14:paraId="269F68ED">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3</w:t>
                  </w:r>
                </w:p>
              </w:tc>
              <w:tc>
                <w:tcPr>
                  <w:tcW w:w="1093" w:type="dxa"/>
                  <w:noWrap w:val="0"/>
                  <w:vAlign w:val="center"/>
                </w:tcPr>
                <w:p w14:paraId="2A1AF240">
                  <w:pPr>
                    <w:spacing w:line="400" w:lineRule="atLeast"/>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郑  易</w:t>
                  </w:r>
                </w:p>
              </w:tc>
              <w:tc>
                <w:tcPr>
                  <w:tcW w:w="2370" w:type="dxa"/>
                  <w:noWrap w:val="0"/>
                  <w:vAlign w:val="center"/>
                </w:tcPr>
                <w:p w14:paraId="6AB80BD2">
                  <w:pPr>
                    <w:spacing w:line="400" w:lineRule="atLeast"/>
                    <w:jc w:val="center"/>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湖北省生态环境厅荆州</w:t>
                  </w:r>
                  <w:r>
                    <w:rPr>
                      <w:rFonts w:ascii="仿宋_GB2312" w:hAnsi="Calibri" w:eastAsia="仿宋_GB2312"/>
                      <w:color w:val="000000"/>
                      <w:sz w:val="21"/>
                      <w:szCs w:val="21"/>
                    </w:rPr>
                    <w:t>生态环境监测中心</w:t>
                  </w:r>
                </w:p>
              </w:tc>
              <w:tc>
                <w:tcPr>
                  <w:tcW w:w="1667" w:type="dxa"/>
                  <w:noWrap w:val="0"/>
                  <w:vAlign w:val="center"/>
                </w:tcPr>
                <w:p w14:paraId="70DB63C5">
                  <w:pPr>
                    <w:spacing w:line="400" w:lineRule="atLeast"/>
                    <w:jc w:val="center"/>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助理工程师</w:t>
                  </w:r>
                </w:p>
              </w:tc>
              <w:tc>
                <w:tcPr>
                  <w:tcW w:w="3220" w:type="dxa"/>
                  <w:noWrap w:val="0"/>
                  <w:vAlign w:val="center"/>
                </w:tcPr>
                <w:p w14:paraId="6C22B42F">
                  <w:pPr>
                    <w:spacing w:line="400" w:lineRule="atLeast"/>
                    <w:jc w:val="left"/>
                    <w:rPr>
                      <w:rFonts w:hint="eastAsia" w:ascii="Times New Roman" w:hAnsi="Times New Roman" w:eastAsia="仿宋_GB2312" w:cs="Times New Roman"/>
                      <w:sz w:val="24"/>
                      <w:szCs w:val="24"/>
                      <w:lang w:eastAsia="zh-CN"/>
                    </w:rPr>
                  </w:pPr>
                  <w:r>
                    <w:rPr>
                      <w:rFonts w:hint="eastAsia" w:ascii="仿宋_GB2312" w:hAnsi="Calibri" w:eastAsia="仿宋_GB2312"/>
                      <w:color w:val="000000"/>
                      <w:sz w:val="21"/>
                      <w:szCs w:val="21"/>
                    </w:rPr>
                    <w:t>负责规范文本相关内容编写，参加性能指标验证。</w:t>
                  </w:r>
                </w:p>
              </w:tc>
            </w:tr>
            <w:tr w14:paraId="5CE51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noWrap w:val="0"/>
                  <w:vAlign w:val="center"/>
                </w:tcPr>
                <w:p w14:paraId="1988936D">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4</w:t>
                  </w:r>
                </w:p>
              </w:tc>
              <w:tc>
                <w:tcPr>
                  <w:tcW w:w="1093" w:type="dxa"/>
                  <w:noWrap w:val="0"/>
                  <w:vAlign w:val="center"/>
                </w:tcPr>
                <w:p w14:paraId="54E440D5">
                  <w:pPr>
                    <w:spacing w:line="400" w:lineRule="atLeast"/>
                    <w:jc w:val="center"/>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张明涛</w:t>
                  </w:r>
                </w:p>
              </w:tc>
              <w:tc>
                <w:tcPr>
                  <w:tcW w:w="2370" w:type="dxa"/>
                  <w:noWrap w:val="0"/>
                  <w:vAlign w:val="center"/>
                </w:tcPr>
                <w:p w14:paraId="13DCC3AF">
                  <w:pPr>
                    <w:spacing w:line="400" w:lineRule="atLeast"/>
                    <w:jc w:val="center"/>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湖北省生态环境厅荆州生态环境监测中心</w:t>
                  </w:r>
                </w:p>
              </w:tc>
              <w:tc>
                <w:tcPr>
                  <w:tcW w:w="1667" w:type="dxa"/>
                  <w:noWrap w:val="0"/>
                  <w:vAlign w:val="center"/>
                </w:tcPr>
                <w:p w14:paraId="0637983D">
                  <w:pPr>
                    <w:spacing w:line="400" w:lineRule="atLeast"/>
                    <w:jc w:val="center"/>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工程师</w:t>
                  </w:r>
                </w:p>
              </w:tc>
              <w:tc>
                <w:tcPr>
                  <w:tcW w:w="3220" w:type="dxa"/>
                  <w:noWrap w:val="0"/>
                  <w:vAlign w:val="center"/>
                </w:tcPr>
                <w:p w14:paraId="3578B61A">
                  <w:pPr>
                    <w:spacing w:line="400" w:lineRule="atLeast"/>
                    <w:jc w:val="left"/>
                    <w:rPr>
                      <w:rFonts w:hint="eastAsia" w:ascii="Times New Roman" w:hAnsi="Times New Roman" w:eastAsia="仿宋_GB2312" w:cs="Times New Roman"/>
                      <w:sz w:val="24"/>
                      <w:szCs w:val="24"/>
                      <w:lang w:eastAsia="zh-CN"/>
                    </w:rPr>
                  </w:pPr>
                  <w:r>
                    <w:rPr>
                      <w:rFonts w:hint="eastAsia" w:ascii="仿宋_GB2312" w:hAnsi="Calibri" w:eastAsia="仿宋_GB2312"/>
                      <w:color w:val="000000"/>
                      <w:sz w:val="21"/>
                      <w:szCs w:val="21"/>
                    </w:rPr>
                    <w:t>负责规范文本相关内容编写，参加性能指标验证。</w:t>
                  </w:r>
                </w:p>
              </w:tc>
            </w:tr>
            <w:tr w14:paraId="77386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21" w:type="dxa"/>
                  <w:noWrap w:val="0"/>
                  <w:vAlign w:val="center"/>
                </w:tcPr>
                <w:p w14:paraId="44D29E26">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5</w:t>
                  </w:r>
                </w:p>
              </w:tc>
              <w:tc>
                <w:tcPr>
                  <w:tcW w:w="1093" w:type="dxa"/>
                  <w:noWrap w:val="0"/>
                  <w:vAlign w:val="center"/>
                </w:tcPr>
                <w:p w14:paraId="03EEF77C">
                  <w:pPr>
                    <w:spacing w:line="400" w:lineRule="atLeast"/>
                    <w:jc w:val="center"/>
                    <w:rPr>
                      <w:rFonts w:hint="default" w:ascii="Times New Roman" w:hAnsi="Times New Roman" w:eastAsia="仿宋_GB2312" w:cs="Times New Roman"/>
                      <w:sz w:val="24"/>
                      <w:szCs w:val="24"/>
                      <w:lang w:val="en-US" w:eastAsia="zh-CN"/>
                    </w:rPr>
                  </w:pPr>
                  <w:r>
                    <w:rPr>
                      <w:rFonts w:hint="eastAsia" w:ascii="仿宋_GB2312" w:hAnsi="Calibri" w:eastAsia="仿宋_GB2312"/>
                      <w:color w:val="000000"/>
                      <w:sz w:val="21"/>
                      <w:szCs w:val="21"/>
                    </w:rPr>
                    <w:t>严  格</w:t>
                  </w:r>
                </w:p>
              </w:tc>
              <w:tc>
                <w:tcPr>
                  <w:tcW w:w="2370" w:type="dxa"/>
                  <w:noWrap w:val="0"/>
                  <w:vAlign w:val="center"/>
                </w:tcPr>
                <w:p w14:paraId="10E5D29A">
                  <w:pPr>
                    <w:spacing w:line="400" w:lineRule="atLeast"/>
                    <w:jc w:val="center"/>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湖北省</w:t>
                  </w:r>
                  <w:r>
                    <w:rPr>
                      <w:rFonts w:ascii="仿宋_GB2312" w:hAnsi="Calibri" w:eastAsia="仿宋_GB2312"/>
                      <w:color w:val="000000"/>
                      <w:sz w:val="21"/>
                      <w:szCs w:val="21"/>
                    </w:rPr>
                    <w:t>生态环境监测中心站</w:t>
                  </w:r>
                </w:p>
              </w:tc>
              <w:tc>
                <w:tcPr>
                  <w:tcW w:w="1667" w:type="dxa"/>
                  <w:noWrap w:val="0"/>
                  <w:vAlign w:val="center"/>
                </w:tcPr>
                <w:p w14:paraId="40185DE7">
                  <w:pPr>
                    <w:spacing w:line="400" w:lineRule="atLeast"/>
                    <w:jc w:val="center"/>
                    <w:rPr>
                      <w:rFonts w:hint="default" w:ascii="Times New Roman" w:hAnsi="Times New Roman" w:eastAsia="仿宋_GB2312" w:cs="Times New Roman"/>
                      <w:sz w:val="24"/>
                      <w:szCs w:val="24"/>
                      <w:lang w:val="en-US" w:eastAsia="zh-CN"/>
                    </w:rPr>
                  </w:pPr>
                  <w:r>
                    <w:rPr>
                      <w:rFonts w:hint="eastAsia" w:ascii="仿宋_GB2312" w:hAnsi="Calibri" w:eastAsia="仿宋_GB2312"/>
                      <w:color w:val="000000"/>
                      <w:sz w:val="21"/>
                      <w:szCs w:val="21"/>
                    </w:rPr>
                    <w:t>工程师</w:t>
                  </w:r>
                </w:p>
              </w:tc>
              <w:tc>
                <w:tcPr>
                  <w:tcW w:w="3220" w:type="dxa"/>
                  <w:noWrap w:val="0"/>
                  <w:vAlign w:val="center"/>
                </w:tcPr>
                <w:p w14:paraId="720FF7B3">
                  <w:pPr>
                    <w:spacing w:line="400" w:lineRule="atLeast"/>
                    <w:jc w:val="left"/>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负责规范文本相关内容编写，参加性能指标验证。</w:t>
                  </w:r>
                </w:p>
              </w:tc>
            </w:tr>
            <w:tr w14:paraId="052BC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21" w:type="dxa"/>
                  <w:noWrap w:val="0"/>
                  <w:vAlign w:val="center"/>
                </w:tcPr>
                <w:p w14:paraId="74BF2992">
                  <w:pPr>
                    <w:pStyle w:val="3"/>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6</w:t>
                  </w:r>
                </w:p>
              </w:tc>
              <w:tc>
                <w:tcPr>
                  <w:tcW w:w="1093" w:type="dxa"/>
                  <w:noWrap w:val="0"/>
                  <w:vAlign w:val="center"/>
                </w:tcPr>
                <w:p w14:paraId="62C9D863">
                  <w:pPr>
                    <w:spacing w:line="400" w:lineRule="atLeast"/>
                    <w:jc w:val="center"/>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游狄杰</w:t>
                  </w:r>
                </w:p>
              </w:tc>
              <w:tc>
                <w:tcPr>
                  <w:tcW w:w="2370" w:type="dxa"/>
                  <w:noWrap w:val="0"/>
                  <w:vAlign w:val="center"/>
                </w:tcPr>
                <w:p w14:paraId="0CE013E9">
                  <w:pPr>
                    <w:spacing w:line="400" w:lineRule="atLeast"/>
                    <w:jc w:val="center"/>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湖北省</w:t>
                  </w:r>
                  <w:r>
                    <w:rPr>
                      <w:rFonts w:ascii="仿宋_GB2312" w:hAnsi="Calibri" w:eastAsia="仿宋_GB2312"/>
                      <w:color w:val="000000"/>
                      <w:sz w:val="21"/>
                      <w:szCs w:val="21"/>
                    </w:rPr>
                    <w:t>生态环境监测中心站</w:t>
                  </w:r>
                </w:p>
              </w:tc>
              <w:tc>
                <w:tcPr>
                  <w:tcW w:w="1667" w:type="dxa"/>
                  <w:noWrap w:val="0"/>
                  <w:vAlign w:val="center"/>
                </w:tcPr>
                <w:p w14:paraId="4539F277">
                  <w:pPr>
                    <w:spacing w:line="400" w:lineRule="atLeast"/>
                    <w:jc w:val="center"/>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工程师</w:t>
                  </w:r>
                </w:p>
              </w:tc>
              <w:tc>
                <w:tcPr>
                  <w:tcW w:w="3220" w:type="dxa"/>
                  <w:noWrap w:val="0"/>
                  <w:vAlign w:val="center"/>
                </w:tcPr>
                <w:p w14:paraId="24F29CDB">
                  <w:pPr>
                    <w:spacing w:line="400" w:lineRule="atLeast"/>
                    <w:jc w:val="left"/>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负责规范文本相关内容编写，参加性能指标验证。</w:t>
                  </w:r>
                </w:p>
              </w:tc>
            </w:tr>
            <w:tr w14:paraId="5A930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21" w:type="dxa"/>
                  <w:noWrap w:val="0"/>
                  <w:vAlign w:val="center"/>
                </w:tcPr>
                <w:p w14:paraId="5D23EAAA">
                  <w:pPr>
                    <w:pStyle w:val="3"/>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7</w:t>
                  </w:r>
                </w:p>
              </w:tc>
              <w:tc>
                <w:tcPr>
                  <w:tcW w:w="1093" w:type="dxa"/>
                  <w:noWrap w:val="0"/>
                  <w:vAlign w:val="center"/>
                </w:tcPr>
                <w:p w14:paraId="394428CD">
                  <w:pPr>
                    <w:spacing w:line="400" w:lineRule="atLeast"/>
                    <w:jc w:val="center"/>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程继雄</w:t>
                  </w:r>
                </w:p>
              </w:tc>
              <w:tc>
                <w:tcPr>
                  <w:tcW w:w="2370" w:type="dxa"/>
                  <w:noWrap w:val="0"/>
                  <w:vAlign w:val="center"/>
                </w:tcPr>
                <w:p w14:paraId="2A9A6A91">
                  <w:pPr>
                    <w:spacing w:line="400" w:lineRule="atLeast"/>
                    <w:jc w:val="center"/>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湖北省</w:t>
                  </w:r>
                  <w:r>
                    <w:rPr>
                      <w:rFonts w:ascii="仿宋_GB2312" w:hAnsi="Calibri" w:eastAsia="仿宋_GB2312"/>
                      <w:color w:val="000000"/>
                      <w:sz w:val="21"/>
                      <w:szCs w:val="21"/>
                    </w:rPr>
                    <w:t>生态环境监测中心站</w:t>
                  </w:r>
                </w:p>
              </w:tc>
              <w:tc>
                <w:tcPr>
                  <w:tcW w:w="1667" w:type="dxa"/>
                  <w:noWrap w:val="0"/>
                  <w:vAlign w:val="center"/>
                </w:tcPr>
                <w:p w14:paraId="7A6BF1A8">
                  <w:pPr>
                    <w:spacing w:line="400" w:lineRule="atLeast"/>
                    <w:jc w:val="center"/>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总工/高工</w:t>
                  </w:r>
                </w:p>
              </w:tc>
              <w:tc>
                <w:tcPr>
                  <w:tcW w:w="3220" w:type="dxa"/>
                  <w:noWrap w:val="0"/>
                  <w:vAlign w:val="center"/>
                </w:tcPr>
                <w:p w14:paraId="358B2A65">
                  <w:pPr>
                    <w:spacing w:line="400" w:lineRule="atLeast"/>
                    <w:jc w:val="left"/>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参与规范技术审核。</w:t>
                  </w:r>
                </w:p>
              </w:tc>
            </w:tr>
            <w:tr w14:paraId="73366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21" w:type="dxa"/>
                  <w:noWrap w:val="0"/>
                  <w:vAlign w:val="center"/>
                </w:tcPr>
                <w:p w14:paraId="2692814E">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8</w:t>
                  </w:r>
                </w:p>
              </w:tc>
              <w:tc>
                <w:tcPr>
                  <w:tcW w:w="1093" w:type="dxa"/>
                  <w:noWrap w:val="0"/>
                  <w:vAlign w:val="center"/>
                </w:tcPr>
                <w:p w14:paraId="474B5FCF">
                  <w:pPr>
                    <w:spacing w:line="400" w:lineRule="atLeast"/>
                    <w:jc w:val="center"/>
                    <w:rPr>
                      <w:rFonts w:hint="eastAsia" w:ascii="Times New Roman" w:hAnsi="Times New Roman" w:eastAsia="仿宋_GB2312" w:cs="Times New Roman"/>
                      <w:sz w:val="24"/>
                      <w:szCs w:val="24"/>
                      <w:lang w:eastAsia="zh-CN"/>
                    </w:rPr>
                  </w:pPr>
                  <w:r>
                    <w:rPr>
                      <w:rFonts w:hint="eastAsia" w:ascii="仿宋_GB2312" w:eastAsia="仿宋_GB2312"/>
                      <w:color w:val="000000"/>
                      <w:sz w:val="21"/>
                      <w:szCs w:val="21"/>
                      <w:lang w:val="en-US" w:eastAsia="zh-CN"/>
                    </w:rPr>
                    <w:t>吴  昊</w:t>
                  </w:r>
                </w:p>
              </w:tc>
              <w:tc>
                <w:tcPr>
                  <w:tcW w:w="2370" w:type="dxa"/>
                  <w:noWrap w:val="0"/>
                  <w:vAlign w:val="center"/>
                </w:tcPr>
                <w:p w14:paraId="386D5D8F">
                  <w:pPr>
                    <w:spacing w:line="400" w:lineRule="atLeast"/>
                    <w:jc w:val="center"/>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湖北省</w:t>
                  </w:r>
                  <w:r>
                    <w:rPr>
                      <w:rFonts w:ascii="仿宋_GB2312" w:hAnsi="Calibri" w:eastAsia="仿宋_GB2312"/>
                      <w:color w:val="000000"/>
                      <w:sz w:val="21"/>
                      <w:szCs w:val="21"/>
                    </w:rPr>
                    <w:t>生态环境监测中心站</w:t>
                  </w:r>
                </w:p>
              </w:tc>
              <w:tc>
                <w:tcPr>
                  <w:tcW w:w="1667" w:type="dxa"/>
                  <w:noWrap w:val="0"/>
                  <w:vAlign w:val="center"/>
                </w:tcPr>
                <w:p w14:paraId="4FD9BCE6">
                  <w:pPr>
                    <w:spacing w:line="400" w:lineRule="atLeast"/>
                    <w:jc w:val="center"/>
                    <w:rPr>
                      <w:rFonts w:hint="eastAsia" w:ascii="Times New Roman" w:hAnsi="Times New Roman" w:eastAsia="仿宋_GB2312" w:cs="Times New Roman"/>
                      <w:sz w:val="24"/>
                      <w:szCs w:val="24"/>
                      <w:lang w:eastAsia="zh-CN"/>
                    </w:rPr>
                  </w:pPr>
                  <w:r>
                    <w:rPr>
                      <w:rFonts w:hint="eastAsia" w:ascii="仿宋_GB2312" w:eastAsia="仿宋_GB2312"/>
                      <w:color w:val="000000"/>
                      <w:sz w:val="21"/>
                      <w:szCs w:val="21"/>
                      <w:lang w:val="en-US" w:eastAsia="zh-CN"/>
                    </w:rPr>
                    <w:t>高工</w:t>
                  </w:r>
                </w:p>
              </w:tc>
              <w:tc>
                <w:tcPr>
                  <w:tcW w:w="3220" w:type="dxa"/>
                  <w:noWrap w:val="0"/>
                  <w:vAlign w:val="center"/>
                </w:tcPr>
                <w:p w14:paraId="25A6ECA2">
                  <w:pPr>
                    <w:spacing w:line="400" w:lineRule="atLeast"/>
                    <w:jc w:val="left"/>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参与规范技术审核。</w:t>
                  </w:r>
                </w:p>
              </w:tc>
            </w:tr>
            <w:tr w14:paraId="0DECB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21" w:type="dxa"/>
                  <w:noWrap w:val="0"/>
                  <w:vAlign w:val="center"/>
                </w:tcPr>
                <w:p w14:paraId="41D708C2">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9</w:t>
                  </w:r>
                </w:p>
              </w:tc>
              <w:tc>
                <w:tcPr>
                  <w:tcW w:w="1093" w:type="dxa"/>
                  <w:noWrap w:val="0"/>
                  <w:vAlign w:val="center"/>
                </w:tcPr>
                <w:p w14:paraId="55AD4B9E">
                  <w:pPr>
                    <w:spacing w:line="400" w:lineRule="atLeast"/>
                    <w:jc w:val="center"/>
                    <w:rPr>
                      <w:rFonts w:hint="eastAsia" w:ascii="Times New Roman" w:hAnsi="Times New Roman" w:eastAsia="仿宋_GB2312" w:cs="Times New Roman"/>
                      <w:sz w:val="24"/>
                      <w:szCs w:val="24"/>
                      <w:lang w:eastAsia="zh-CN"/>
                    </w:rPr>
                  </w:pPr>
                  <w:r>
                    <w:rPr>
                      <w:rFonts w:hint="eastAsia" w:ascii="仿宋_GB2312" w:hAnsi="Calibri" w:eastAsia="仿宋_GB2312"/>
                      <w:color w:val="000000"/>
                      <w:sz w:val="21"/>
                      <w:szCs w:val="21"/>
                    </w:rPr>
                    <w:t>李  韬</w:t>
                  </w:r>
                </w:p>
              </w:tc>
              <w:tc>
                <w:tcPr>
                  <w:tcW w:w="2370" w:type="dxa"/>
                  <w:noWrap w:val="0"/>
                  <w:vAlign w:val="center"/>
                </w:tcPr>
                <w:p w14:paraId="309C6ABF">
                  <w:pPr>
                    <w:spacing w:line="400" w:lineRule="atLeast"/>
                    <w:jc w:val="center"/>
                    <w:rPr>
                      <w:rFonts w:hint="default" w:ascii="Times New Roman" w:hAnsi="Times New Roman" w:eastAsia="仿宋_GB2312" w:cs="Times New Roman"/>
                      <w:kern w:val="2"/>
                      <w:sz w:val="24"/>
                      <w:szCs w:val="24"/>
                      <w:lang w:val="en-US" w:eastAsia="zh-CN" w:bidi="ar-SA"/>
                    </w:rPr>
                  </w:pPr>
                  <w:r>
                    <w:rPr>
                      <w:rFonts w:hint="eastAsia" w:ascii="仿宋_GB2312" w:hAnsi="Calibri" w:eastAsia="仿宋_GB2312"/>
                      <w:color w:val="000000"/>
                      <w:sz w:val="21"/>
                      <w:szCs w:val="21"/>
                    </w:rPr>
                    <w:t>湖北省生态环境厅武汉生态环境监测中心</w:t>
                  </w:r>
                </w:p>
              </w:tc>
              <w:tc>
                <w:tcPr>
                  <w:tcW w:w="1667" w:type="dxa"/>
                  <w:noWrap w:val="0"/>
                  <w:vAlign w:val="center"/>
                </w:tcPr>
                <w:p w14:paraId="3FAC31D2">
                  <w:pPr>
                    <w:spacing w:line="400" w:lineRule="atLeast"/>
                    <w:jc w:val="center"/>
                    <w:rPr>
                      <w:rFonts w:hint="default" w:ascii="Times New Roman" w:hAnsi="Times New Roman" w:eastAsia="仿宋_GB2312" w:cs="Times New Roman"/>
                      <w:kern w:val="2"/>
                      <w:sz w:val="24"/>
                      <w:szCs w:val="24"/>
                      <w:lang w:val="en-US" w:eastAsia="zh-CN" w:bidi="ar-SA"/>
                    </w:rPr>
                  </w:pPr>
                  <w:r>
                    <w:rPr>
                      <w:rFonts w:hint="eastAsia" w:ascii="仿宋_GB2312" w:hAnsi="Calibri" w:eastAsia="仿宋_GB2312"/>
                      <w:color w:val="000000"/>
                      <w:sz w:val="21"/>
                      <w:szCs w:val="21"/>
                    </w:rPr>
                    <w:t>中心主任/正高</w:t>
                  </w:r>
                </w:p>
              </w:tc>
              <w:tc>
                <w:tcPr>
                  <w:tcW w:w="3220" w:type="dxa"/>
                  <w:noWrap w:val="0"/>
                  <w:vAlign w:val="center"/>
                </w:tcPr>
                <w:p w14:paraId="136C1CA5">
                  <w:pPr>
                    <w:spacing w:line="400" w:lineRule="atLeast"/>
                    <w:jc w:val="left"/>
                    <w:rPr>
                      <w:rFonts w:hint="default" w:ascii="Times New Roman" w:hAnsi="Times New Roman" w:eastAsia="仿宋_GB2312" w:cs="Times New Roman"/>
                      <w:kern w:val="2"/>
                      <w:sz w:val="24"/>
                      <w:szCs w:val="24"/>
                      <w:lang w:val="en-US" w:eastAsia="zh-CN" w:bidi="ar-SA"/>
                    </w:rPr>
                  </w:pPr>
                  <w:r>
                    <w:rPr>
                      <w:rFonts w:hint="eastAsia" w:ascii="仿宋_GB2312" w:hAnsi="Calibri" w:eastAsia="仿宋_GB2312"/>
                      <w:color w:val="000000"/>
                      <w:sz w:val="21"/>
                      <w:szCs w:val="21"/>
                    </w:rPr>
                    <w:t>参与规范技术审核。</w:t>
                  </w:r>
                </w:p>
              </w:tc>
            </w:tr>
            <w:tr w14:paraId="379A6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21" w:type="dxa"/>
                  <w:noWrap w:val="0"/>
                  <w:vAlign w:val="center"/>
                </w:tcPr>
                <w:p w14:paraId="7E6B0965">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10</w:t>
                  </w:r>
                </w:p>
              </w:tc>
              <w:tc>
                <w:tcPr>
                  <w:tcW w:w="1093" w:type="dxa"/>
                  <w:noWrap w:val="0"/>
                  <w:vAlign w:val="center"/>
                </w:tcPr>
                <w:p w14:paraId="03FFCE2B">
                  <w:pPr>
                    <w:spacing w:line="400" w:lineRule="atLeast"/>
                    <w:jc w:val="center"/>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沈龙娇</w:t>
                  </w:r>
                </w:p>
              </w:tc>
              <w:tc>
                <w:tcPr>
                  <w:tcW w:w="2370" w:type="dxa"/>
                  <w:noWrap w:val="0"/>
                  <w:vAlign w:val="center"/>
                </w:tcPr>
                <w:p w14:paraId="5D16CF76">
                  <w:pPr>
                    <w:spacing w:line="400" w:lineRule="atLeast"/>
                    <w:jc w:val="center"/>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湖北省生态环境厅武汉生态环境监测中心</w:t>
                  </w:r>
                </w:p>
              </w:tc>
              <w:tc>
                <w:tcPr>
                  <w:tcW w:w="1667" w:type="dxa"/>
                  <w:noWrap w:val="0"/>
                  <w:vAlign w:val="center"/>
                </w:tcPr>
                <w:p w14:paraId="00774B9C">
                  <w:pPr>
                    <w:spacing w:line="400" w:lineRule="atLeast"/>
                    <w:jc w:val="center"/>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室主任/高工</w:t>
                  </w:r>
                </w:p>
              </w:tc>
              <w:tc>
                <w:tcPr>
                  <w:tcW w:w="3220" w:type="dxa"/>
                  <w:noWrap w:val="0"/>
                  <w:vAlign w:val="center"/>
                </w:tcPr>
                <w:p w14:paraId="26670441">
                  <w:pPr>
                    <w:spacing w:line="400" w:lineRule="atLeast"/>
                    <w:jc w:val="left"/>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负责规范文本相关内容编写，参加性能指标验证。</w:t>
                  </w:r>
                </w:p>
              </w:tc>
            </w:tr>
            <w:tr w14:paraId="7FEAD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noWrap w:val="0"/>
                  <w:vAlign w:val="center"/>
                </w:tcPr>
                <w:p w14:paraId="022F4589">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w:t>
                  </w:r>
                  <w:r>
                    <w:rPr>
                      <w:rFonts w:hint="default" w:ascii="Times New Roman" w:hAnsi="Times New Roman" w:eastAsia="仿宋_GB2312" w:cs="Times New Roman"/>
                      <w:sz w:val="24"/>
                      <w:szCs w:val="24"/>
                      <w:lang w:val="en-US" w:eastAsia="zh-CN"/>
                    </w:rPr>
                    <w:t>1</w:t>
                  </w:r>
                </w:p>
              </w:tc>
              <w:tc>
                <w:tcPr>
                  <w:tcW w:w="1093" w:type="dxa"/>
                  <w:noWrap w:val="0"/>
                  <w:vAlign w:val="center"/>
                </w:tcPr>
                <w:p w14:paraId="514BE14A">
                  <w:pPr>
                    <w:spacing w:line="400" w:lineRule="atLeast"/>
                    <w:jc w:val="center"/>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刘  静</w:t>
                  </w:r>
                </w:p>
              </w:tc>
              <w:tc>
                <w:tcPr>
                  <w:tcW w:w="2370" w:type="dxa"/>
                  <w:noWrap w:val="0"/>
                  <w:vAlign w:val="center"/>
                </w:tcPr>
                <w:p w14:paraId="6C5543B7">
                  <w:pPr>
                    <w:spacing w:line="400" w:lineRule="atLeast"/>
                    <w:jc w:val="center"/>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湖北省生态环境厅武汉生态环境监测中心</w:t>
                  </w:r>
                </w:p>
              </w:tc>
              <w:tc>
                <w:tcPr>
                  <w:tcW w:w="1667" w:type="dxa"/>
                  <w:noWrap w:val="0"/>
                  <w:vAlign w:val="center"/>
                </w:tcPr>
                <w:p w14:paraId="407A9D1E">
                  <w:pPr>
                    <w:spacing w:line="400" w:lineRule="atLeast"/>
                    <w:jc w:val="center"/>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室主任/工程师</w:t>
                  </w:r>
                </w:p>
              </w:tc>
              <w:tc>
                <w:tcPr>
                  <w:tcW w:w="3220" w:type="dxa"/>
                  <w:noWrap w:val="0"/>
                  <w:vAlign w:val="center"/>
                </w:tcPr>
                <w:p w14:paraId="30699C37">
                  <w:pPr>
                    <w:spacing w:line="400" w:lineRule="atLeast"/>
                    <w:jc w:val="left"/>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负责规范文本相关内容编写，参加性能指标验证。</w:t>
                  </w:r>
                </w:p>
              </w:tc>
            </w:tr>
            <w:tr w14:paraId="03B98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21" w:type="dxa"/>
                  <w:noWrap w:val="0"/>
                  <w:vAlign w:val="center"/>
                </w:tcPr>
                <w:p w14:paraId="2A23A87D">
                  <w:pPr>
                    <w:spacing w:line="360" w:lineRule="exact"/>
                    <w:jc w:val="center"/>
                    <w:rPr>
                      <w:rFonts w:hint="default"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12</w:t>
                  </w:r>
                </w:p>
              </w:tc>
              <w:tc>
                <w:tcPr>
                  <w:tcW w:w="1093" w:type="dxa"/>
                  <w:noWrap w:val="0"/>
                  <w:vAlign w:val="center"/>
                </w:tcPr>
                <w:p w14:paraId="0747D3E9">
                  <w:pPr>
                    <w:spacing w:line="400" w:lineRule="atLeast"/>
                    <w:jc w:val="center"/>
                    <w:rPr>
                      <w:rFonts w:hint="eastAsia" w:ascii="Times New Roman" w:hAnsi="Times New Roman" w:eastAsia="仿宋_GB2312" w:cs="Times New Roman"/>
                      <w:sz w:val="24"/>
                      <w:szCs w:val="24"/>
                      <w:lang w:val="en-US" w:eastAsia="zh-CN"/>
                    </w:rPr>
                  </w:pPr>
                  <w:r>
                    <w:rPr>
                      <w:rFonts w:hint="eastAsia" w:ascii="仿宋_GB2312" w:hAnsi="Calibri" w:eastAsia="仿宋_GB2312"/>
                      <w:color w:val="000000"/>
                      <w:sz w:val="21"/>
                      <w:szCs w:val="21"/>
                    </w:rPr>
                    <w:t>黄  荣</w:t>
                  </w:r>
                </w:p>
              </w:tc>
              <w:tc>
                <w:tcPr>
                  <w:tcW w:w="2370" w:type="dxa"/>
                  <w:noWrap w:val="0"/>
                  <w:vAlign w:val="center"/>
                </w:tcPr>
                <w:p w14:paraId="1B806FED">
                  <w:pPr>
                    <w:spacing w:line="400" w:lineRule="atLeast"/>
                    <w:jc w:val="center"/>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湖北省标准化与质量研究院</w:t>
                  </w:r>
                </w:p>
              </w:tc>
              <w:tc>
                <w:tcPr>
                  <w:tcW w:w="1667" w:type="dxa"/>
                  <w:noWrap w:val="0"/>
                  <w:vAlign w:val="center"/>
                </w:tcPr>
                <w:p w14:paraId="6177BDDD">
                  <w:pPr>
                    <w:spacing w:line="400" w:lineRule="atLeast"/>
                    <w:jc w:val="center"/>
                    <w:rPr>
                      <w:rFonts w:hint="eastAsia" w:ascii="Times New Roman" w:hAnsi="Times New Roman" w:eastAsia="仿宋_GB2312" w:cs="Times New Roman"/>
                      <w:sz w:val="24"/>
                      <w:szCs w:val="24"/>
                      <w:lang w:val="en-US" w:eastAsia="zh-CN"/>
                    </w:rPr>
                  </w:pPr>
                  <w:r>
                    <w:rPr>
                      <w:rFonts w:hint="eastAsia" w:ascii="仿宋_GB2312" w:hAnsi="Calibri" w:eastAsia="仿宋_GB2312"/>
                      <w:color w:val="000000"/>
                      <w:sz w:val="21"/>
                      <w:szCs w:val="21"/>
                    </w:rPr>
                    <w:t>室主任/高工</w:t>
                  </w:r>
                </w:p>
              </w:tc>
              <w:tc>
                <w:tcPr>
                  <w:tcW w:w="3220" w:type="dxa"/>
                  <w:noWrap w:val="0"/>
                  <w:vAlign w:val="center"/>
                </w:tcPr>
                <w:p w14:paraId="6BD80DDE">
                  <w:pPr>
                    <w:spacing w:line="400" w:lineRule="atLeast"/>
                    <w:jc w:val="left"/>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参与规范形式审核。</w:t>
                  </w:r>
                </w:p>
              </w:tc>
            </w:tr>
            <w:tr w14:paraId="18FA1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noWrap w:val="0"/>
                  <w:vAlign w:val="center"/>
                </w:tcPr>
                <w:p w14:paraId="268CE87C">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w:t>
                  </w:r>
                  <w:r>
                    <w:rPr>
                      <w:rFonts w:hint="eastAsia" w:ascii="Times New Roman" w:hAnsi="Times New Roman" w:eastAsia="仿宋_GB2312" w:cs="Times New Roman"/>
                      <w:sz w:val="24"/>
                      <w:szCs w:val="24"/>
                      <w:lang w:val="en-US" w:eastAsia="zh-CN"/>
                    </w:rPr>
                    <w:t>3</w:t>
                  </w:r>
                </w:p>
              </w:tc>
              <w:tc>
                <w:tcPr>
                  <w:tcW w:w="1093" w:type="dxa"/>
                  <w:noWrap w:val="0"/>
                  <w:vAlign w:val="center"/>
                </w:tcPr>
                <w:p w14:paraId="223D4CDF">
                  <w:pPr>
                    <w:spacing w:line="400" w:lineRule="atLeast"/>
                    <w:jc w:val="center"/>
                    <w:rPr>
                      <w:rFonts w:hint="eastAsia" w:ascii="Times New Roman" w:hAnsi="Times New Roman" w:eastAsia="仿宋_GB2312" w:cs="Times New Roman"/>
                      <w:sz w:val="24"/>
                      <w:szCs w:val="24"/>
                      <w:lang w:eastAsia="zh-CN"/>
                    </w:rPr>
                  </w:pPr>
                  <w:r>
                    <w:rPr>
                      <w:rFonts w:hint="eastAsia" w:ascii="仿宋_GB2312" w:hAnsi="Calibri" w:eastAsia="仿宋_GB2312"/>
                      <w:color w:val="000000"/>
                      <w:sz w:val="21"/>
                      <w:szCs w:val="21"/>
                    </w:rPr>
                    <w:t>蔡江华</w:t>
                  </w:r>
                </w:p>
              </w:tc>
              <w:tc>
                <w:tcPr>
                  <w:tcW w:w="2370" w:type="dxa"/>
                  <w:noWrap w:val="0"/>
                  <w:vAlign w:val="center"/>
                </w:tcPr>
                <w:p w14:paraId="27CCD210">
                  <w:pPr>
                    <w:spacing w:line="400" w:lineRule="atLeast"/>
                    <w:jc w:val="center"/>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湖北省市场监督管理宣传教育中心</w:t>
                  </w:r>
                </w:p>
              </w:tc>
              <w:tc>
                <w:tcPr>
                  <w:tcW w:w="1667" w:type="dxa"/>
                  <w:noWrap w:val="0"/>
                  <w:vAlign w:val="center"/>
                </w:tcPr>
                <w:p w14:paraId="0F8D161B">
                  <w:pPr>
                    <w:spacing w:line="400" w:lineRule="atLeast"/>
                    <w:jc w:val="center"/>
                    <w:rPr>
                      <w:rFonts w:hint="eastAsia" w:ascii="Times New Roman" w:hAnsi="Times New Roman" w:eastAsia="仿宋_GB2312" w:cs="Times New Roman"/>
                      <w:sz w:val="24"/>
                      <w:szCs w:val="24"/>
                      <w:lang w:eastAsia="zh-CN"/>
                    </w:rPr>
                  </w:pPr>
                  <w:r>
                    <w:rPr>
                      <w:rFonts w:hint="eastAsia" w:ascii="仿宋_GB2312" w:hAnsi="Calibri" w:eastAsia="仿宋_GB2312"/>
                      <w:color w:val="000000"/>
                      <w:sz w:val="21"/>
                      <w:szCs w:val="21"/>
                    </w:rPr>
                    <w:t>高工</w:t>
                  </w:r>
                </w:p>
              </w:tc>
              <w:tc>
                <w:tcPr>
                  <w:tcW w:w="3220" w:type="dxa"/>
                  <w:noWrap w:val="0"/>
                  <w:vAlign w:val="center"/>
                </w:tcPr>
                <w:p w14:paraId="0563C655">
                  <w:pPr>
                    <w:spacing w:line="400" w:lineRule="atLeast"/>
                    <w:jc w:val="left"/>
                    <w:rPr>
                      <w:rFonts w:hint="eastAsia" w:ascii="Times New Roman" w:hAnsi="Times New Roman" w:eastAsia="仿宋_GB2312" w:cs="Times New Roman"/>
                      <w:sz w:val="24"/>
                      <w:szCs w:val="24"/>
                      <w:lang w:eastAsia="zh-CN"/>
                    </w:rPr>
                  </w:pPr>
                  <w:r>
                    <w:rPr>
                      <w:rFonts w:hint="eastAsia" w:ascii="仿宋_GB2312" w:hAnsi="Calibri" w:eastAsia="仿宋_GB2312"/>
                      <w:color w:val="000000"/>
                      <w:sz w:val="21"/>
                      <w:szCs w:val="21"/>
                    </w:rPr>
                    <w:t>参与规范技术审核。</w:t>
                  </w:r>
                </w:p>
              </w:tc>
            </w:tr>
            <w:tr w14:paraId="5B07D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noWrap w:val="0"/>
                  <w:vAlign w:val="center"/>
                </w:tcPr>
                <w:p w14:paraId="26A62EA4">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w:t>
                  </w:r>
                  <w:r>
                    <w:rPr>
                      <w:rFonts w:hint="eastAsia" w:ascii="Times New Roman" w:hAnsi="Times New Roman" w:eastAsia="仿宋_GB2312" w:cs="Times New Roman"/>
                      <w:sz w:val="24"/>
                      <w:szCs w:val="24"/>
                      <w:lang w:val="en-US" w:eastAsia="zh-CN"/>
                    </w:rPr>
                    <w:t>4</w:t>
                  </w:r>
                </w:p>
              </w:tc>
              <w:tc>
                <w:tcPr>
                  <w:tcW w:w="1093" w:type="dxa"/>
                  <w:noWrap w:val="0"/>
                  <w:vAlign w:val="center"/>
                </w:tcPr>
                <w:p w14:paraId="00BC1C48">
                  <w:pPr>
                    <w:spacing w:line="400" w:lineRule="atLeast"/>
                    <w:jc w:val="center"/>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肖玲君</w:t>
                  </w:r>
                </w:p>
              </w:tc>
              <w:tc>
                <w:tcPr>
                  <w:tcW w:w="2370" w:type="dxa"/>
                  <w:noWrap w:val="0"/>
                  <w:vAlign w:val="center"/>
                </w:tcPr>
                <w:p w14:paraId="190A4349">
                  <w:pPr>
                    <w:spacing w:line="400" w:lineRule="atLeast"/>
                    <w:jc w:val="center"/>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武汉市宇驰检测技术有限公司</w:t>
                  </w:r>
                </w:p>
              </w:tc>
              <w:tc>
                <w:tcPr>
                  <w:tcW w:w="1667" w:type="dxa"/>
                  <w:noWrap w:val="0"/>
                  <w:vAlign w:val="center"/>
                </w:tcPr>
                <w:p w14:paraId="2B882E51">
                  <w:pPr>
                    <w:spacing w:line="400" w:lineRule="atLeast"/>
                    <w:jc w:val="center"/>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高工</w:t>
                  </w:r>
                </w:p>
              </w:tc>
              <w:tc>
                <w:tcPr>
                  <w:tcW w:w="3220" w:type="dxa"/>
                  <w:noWrap w:val="0"/>
                  <w:vAlign w:val="center"/>
                </w:tcPr>
                <w:p w14:paraId="365254B2">
                  <w:pPr>
                    <w:spacing w:line="400" w:lineRule="atLeast"/>
                    <w:jc w:val="left"/>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负责规范文本相关内容编写，参加性能指标验证。</w:t>
                  </w:r>
                </w:p>
              </w:tc>
            </w:tr>
            <w:tr w14:paraId="33A7B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noWrap w:val="0"/>
                  <w:vAlign w:val="center"/>
                </w:tcPr>
                <w:p w14:paraId="4A5BF1F9">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w:t>
                  </w:r>
                  <w:r>
                    <w:rPr>
                      <w:rFonts w:hint="eastAsia" w:ascii="Times New Roman" w:hAnsi="Times New Roman" w:eastAsia="仿宋_GB2312" w:cs="Times New Roman"/>
                      <w:sz w:val="24"/>
                      <w:szCs w:val="24"/>
                      <w:lang w:val="en-US" w:eastAsia="zh-CN"/>
                    </w:rPr>
                    <w:t>5</w:t>
                  </w:r>
                </w:p>
              </w:tc>
              <w:tc>
                <w:tcPr>
                  <w:tcW w:w="1093" w:type="dxa"/>
                  <w:noWrap w:val="0"/>
                  <w:vAlign w:val="center"/>
                </w:tcPr>
                <w:p w14:paraId="7E590EA8">
                  <w:pPr>
                    <w:spacing w:line="400" w:lineRule="atLeast"/>
                    <w:jc w:val="center"/>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姜璐璐</w:t>
                  </w:r>
                </w:p>
              </w:tc>
              <w:tc>
                <w:tcPr>
                  <w:tcW w:w="2370" w:type="dxa"/>
                  <w:noWrap w:val="0"/>
                  <w:vAlign w:val="center"/>
                </w:tcPr>
                <w:p w14:paraId="6CBA4A88">
                  <w:pPr>
                    <w:spacing w:line="400" w:lineRule="atLeast"/>
                    <w:jc w:val="center"/>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武汉市宇驰检测技术有限公司</w:t>
                  </w:r>
                </w:p>
              </w:tc>
              <w:tc>
                <w:tcPr>
                  <w:tcW w:w="1667" w:type="dxa"/>
                  <w:noWrap w:val="0"/>
                  <w:vAlign w:val="center"/>
                </w:tcPr>
                <w:p w14:paraId="51EE8191">
                  <w:pPr>
                    <w:spacing w:line="400" w:lineRule="atLeast"/>
                    <w:jc w:val="center"/>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工程师</w:t>
                  </w:r>
                </w:p>
              </w:tc>
              <w:tc>
                <w:tcPr>
                  <w:tcW w:w="3220" w:type="dxa"/>
                  <w:noWrap w:val="0"/>
                  <w:vAlign w:val="center"/>
                </w:tcPr>
                <w:p w14:paraId="7F6058CB">
                  <w:pPr>
                    <w:spacing w:line="400" w:lineRule="atLeast"/>
                    <w:jc w:val="left"/>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负责规范文本相关内容编写，参加性能指标验证。</w:t>
                  </w:r>
                </w:p>
              </w:tc>
            </w:tr>
          </w:tbl>
          <w:p w14:paraId="0AAB3570">
            <w:pPr>
              <w:pStyle w:val="3"/>
              <w:ind w:left="0" w:leftChars="0" w:firstLine="0" w:firstLineChars="0"/>
            </w:pPr>
          </w:p>
        </w:tc>
      </w:tr>
    </w:tbl>
    <w:p w14:paraId="58CF0A34">
      <w:pPr>
        <w:rPr>
          <w:rFonts w:ascii="Times New Roman" w:hAnsi="Times New Roman"/>
        </w:rPr>
      </w:pPr>
      <w:bookmarkStart w:id="2" w:name="_GoBack"/>
      <w:bookmarkEnd w:id="2"/>
    </w:p>
    <w:sectPr>
      <w:footerReference r:id="rId3" w:type="default"/>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Liberation Sans">
    <w:altName w:val="微软雅黑"/>
    <w:panose1 w:val="00000000000000000000"/>
    <w:charset w:val="00"/>
    <w:family w:val="swiss"/>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3000509000000000000"/>
    <w:charset w:val="86"/>
    <w:family w:val="auto"/>
    <w:pitch w:val="default"/>
    <w:sig w:usb0="00000001" w:usb1="080E0000" w:usb2="00000000" w:usb3="00000000" w:csb0="00040000" w:csb1="00000000"/>
  </w:font>
  <w:font w:name="方正仿宋_GBK">
    <w:altName w:val="微软雅黑"/>
    <w:panose1 w:val="02000000000000000000"/>
    <w:charset w:val="86"/>
    <w:family w:val="auto"/>
    <w:pitch w:val="default"/>
    <w:sig w:usb0="00000000" w:usb1="00000000" w:usb2="00000000" w:usb3="00000000" w:csb0="00040000" w:csb1="00000000"/>
  </w:font>
  <w:font w:name="CESI仿宋-GB2312">
    <w:altName w:val="仿宋"/>
    <w:panose1 w:val="02000500000000000000"/>
    <w:charset w:val="86"/>
    <w:family w:val="auto"/>
    <w:pitch w:val="default"/>
    <w:sig w:usb0="00000000" w:usb1="00000000" w:usb2="00000010" w:usb3="00000000" w:csb0="0004000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8913A5">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94FE9EC">
                          <w:pPr>
                            <w:pStyle w:val="7"/>
                          </w:pPr>
                          <w:r>
                            <w:fldChar w:fldCharType="begin"/>
                          </w:r>
                          <w:r>
                            <w:instrText xml:space="preserve"> PAGE  \* MERGEFORMAT </w:instrText>
                          </w:r>
                          <w:r>
                            <w:fldChar w:fldCharType="separate"/>
                          </w:r>
                          <w:r>
                            <w:t>1</w:t>
                          </w:r>
                          <w:r>
                            <w:fldChar w:fldCharType="end"/>
                          </w:r>
                        </w:p>
                      </w:txbxContent>
                    </wps:txbx>
                    <wps:bodyPr vert="horz" wrap="none" lIns="0" tIns="0" rIns="0" bIns="0" anchor="t" anchorCtr="0" upright="0">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A5R1ndAQAAvwMAAA4AAAAAAAAA&#10;AQAgAAAAHgEAAGRycy9lMm9Eb2MueG1sUEsFBgAAAAAGAAYAWQEAAG0FAAAAAA==&#10;">
              <v:fill on="f" focussize="0,0"/>
              <v:stroke on="f"/>
              <v:imagedata o:title=""/>
              <o:lock v:ext="edit" aspectratio="f"/>
              <v:textbox inset="0mm,0mm,0mm,0mm" style="mso-fit-shape-to-text:t;">
                <w:txbxContent>
                  <w:p w14:paraId="194FE9EC">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602881"/>
    <w:multiLevelType w:val="singleLevel"/>
    <w:tmpl w:val="D3602881"/>
    <w:lvl w:ilvl="0" w:tentative="0">
      <w:start w:val="1"/>
      <w:numFmt w:val="decimal"/>
      <w:suff w:val="space"/>
      <w:lvlText w:val="%1."/>
      <w:lvlJc w:val="left"/>
    </w:lvl>
  </w:abstractNum>
  <w:abstractNum w:abstractNumId="1">
    <w:nsid w:val="08FD1110"/>
    <w:multiLevelType w:val="multilevel"/>
    <w:tmpl w:val="08FD1110"/>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9"/>
      <w:suff w:val="nothing"/>
      <w:lvlText w:val="%1.%2　"/>
      <w:lvlJc w:val="left"/>
      <w:pPr>
        <w:ind w:left="993"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18"/>
      <w:suff w:val="nothing"/>
      <w:lvlText w:val="%1.%2.%3　"/>
      <w:lvlJc w:val="left"/>
      <w:pPr>
        <w:ind w:left="567" w:firstLine="0"/>
      </w:pPr>
      <w:rPr>
        <w:rFonts w:hint="eastAsia" w:ascii="黑体" w:hAnsi="Times New Roman" w:eastAsia="黑体"/>
        <w:b w:val="0"/>
        <w:i w:val="0"/>
        <w:sz w:val="21"/>
      </w:rPr>
    </w:lvl>
    <w:lvl w:ilvl="3" w:tentative="0">
      <w:start w:val="1"/>
      <w:numFmt w:val="decimal"/>
      <w:suff w:val="nothing"/>
      <w:lvlText w:val="%1.%2.%3.%4　"/>
      <w:lvlJc w:val="left"/>
      <w:pPr>
        <w:ind w:left="-284" w:firstLine="0"/>
      </w:pPr>
      <w:rPr>
        <w:rFonts w:hint="eastAsia" w:ascii="黑体" w:hAnsi="Times New Roman" w:eastAsia="黑体"/>
        <w:b w:val="0"/>
        <w:i w:val="0"/>
        <w:sz w:val="21"/>
      </w:rPr>
    </w:lvl>
    <w:lvl w:ilvl="4" w:tentative="0">
      <w:start w:val="1"/>
      <w:numFmt w:val="decimal"/>
      <w:suff w:val="nothing"/>
      <w:lvlText w:val="%1.%2.%3.%4.%5　"/>
      <w:lvlJc w:val="left"/>
      <w:pPr>
        <w:ind w:left="-284" w:firstLine="0"/>
      </w:pPr>
      <w:rPr>
        <w:rFonts w:hint="eastAsia" w:ascii="黑体" w:hAnsi="Times New Roman" w:eastAsia="黑体"/>
        <w:b w:val="0"/>
        <w:i w:val="0"/>
        <w:sz w:val="21"/>
      </w:rPr>
    </w:lvl>
    <w:lvl w:ilvl="5" w:tentative="0">
      <w:start w:val="1"/>
      <w:numFmt w:val="decimal"/>
      <w:suff w:val="nothing"/>
      <w:lvlText w:val="%1.%2.%3.%4.%5.%6　"/>
      <w:lvlJc w:val="left"/>
      <w:pPr>
        <w:ind w:left="-284" w:firstLine="0"/>
      </w:pPr>
      <w:rPr>
        <w:rFonts w:hint="eastAsia" w:ascii="黑体" w:hAnsi="Times New Roman" w:eastAsia="黑体"/>
        <w:b w:val="0"/>
        <w:i w:val="0"/>
        <w:sz w:val="21"/>
      </w:rPr>
    </w:lvl>
    <w:lvl w:ilvl="6" w:tentative="0">
      <w:start w:val="1"/>
      <w:numFmt w:val="decimal"/>
      <w:suff w:val="nothing"/>
      <w:lvlText w:val="%1%2.%3.%4.%5.%6.%7　"/>
      <w:lvlJc w:val="left"/>
      <w:pPr>
        <w:ind w:left="-284"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685" w:hanging="1418"/>
      </w:pPr>
      <w:rPr>
        <w:rFonts w:hint="eastAsia"/>
      </w:rPr>
    </w:lvl>
    <w:lvl w:ilvl="8" w:tentative="0">
      <w:start w:val="1"/>
      <w:numFmt w:val="decimal"/>
      <w:lvlText w:val="%1.%2.%3.%4.%5.%6.%7.%8.%9"/>
      <w:lvlJc w:val="left"/>
      <w:pPr>
        <w:tabs>
          <w:tab w:val="left" w:pos="4777"/>
        </w:tabs>
        <w:ind w:left="4393" w:hanging="1700"/>
      </w:pPr>
      <w:rPr>
        <w:rFonts w:hint="eastAsia"/>
      </w:rPr>
    </w:lvl>
  </w:abstractNum>
  <w:abstractNum w:abstractNumId="2">
    <w:nsid w:val="76A79CCE"/>
    <w:multiLevelType w:val="multilevel"/>
    <w:tmpl w:val="76A79CCE"/>
    <w:lvl w:ilvl="0" w:tentative="0">
      <w:start w:val="3"/>
      <w:numFmt w:val="decimal"/>
      <w:suff w:val="space"/>
      <w:lvlText w:val="%1."/>
      <w:lvlJc w:val="left"/>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IxNmVhZWU1MzljNWU3OWIyYzM2YmI5NWU4ODA5MTQifQ=="/>
  </w:docVars>
  <w:rsids>
    <w:rsidRoot w:val="003F66F3"/>
    <w:rsid w:val="0002185F"/>
    <w:rsid w:val="00196340"/>
    <w:rsid w:val="002472EF"/>
    <w:rsid w:val="003C635A"/>
    <w:rsid w:val="003F66F3"/>
    <w:rsid w:val="00464B7F"/>
    <w:rsid w:val="004D7FF9"/>
    <w:rsid w:val="00507311"/>
    <w:rsid w:val="005247D3"/>
    <w:rsid w:val="00570ABC"/>
    <w:rsid w:val="005D05A7"/>
    <w:rsid w:val="00626A53"/>
    <w:rsid w:val="00773916"/>
    <w:rsid w:val="007A5CD5"/>
    <w:rsid w:val="007C29B8"/>
    <w:rsid w:val="00871DB3"/>
    <w:rsid w:val="00900C08"/>
    <w:rsid w:val="009C483F"/>
    <w:rsid w:val="009F16A8"/>
    <w:rsid w:val="00A47E31"/>
    <w:rsid w:val="00B71C2F"/>
    <w:rsid w:val="00C96F36"/>
    <w:rsid w:val="00CA750D"/>
    <w:rsid w:val="00D924FB"/>
    <w:rsid w:val="00FC5C26"/>
    <w:rsid w:val="012F416B"/>
    <w:rsid w:val="01A56261"/>
    <w:rsid w:val="02072A78"/>
    <w:rsid w:val="028D6D34"/>
    <w:rsid w:val="02A3254F"/>
    <w:rsid w:val="02DA052F"/>
    <w:rsid w:val="038500F8"/>
    <w:rsid w:val="041863A5"/>
    <w:rsid w:val="04697341"/>
    <w:rsid w:val="06F76370"/>
    <w:rsid w:val="08A97A05"/>
    <w:rsid w:val="092C0F65"/>
    <w:rsid w:val="09420839"/>
    <w:rsid w:val="096B42B9"/>
    <w:rsid w:val="097525CD"/>
    <w:rsid w:val="09EF5967"/>
    <w:rsid w:val="0A2D09F5"/>
    <w:rsid w:val="0B0805EE"/>
    <w:rsid w:val="0B631C5C"/>
    <w:rsid w:val="0C486499"/>
    <w:rsid w:val="0D7E2335"/>
    <w:rsid w:val="0DB935E3"/>
    <w:rsid w:val="0E273DD7"/>
    <w:rsid w:val="0E7170E9"/>
    <w:rsid w:val="0EBA3EC5"/>
    <w:rsid w:val="0ED17948"/>
    <w:rsid w:val="0F4C7ABD"/>
    <w:rsid w:val="0F7E69FA"/>
    <w:rsid w:val="0FDF5034"/>
    <w:rsid w:val="10246EEB"/>
    <w:rsid w:val="108118B4"/>
    <w:rsid w:val="11401B02"/>
    <w:rsid w:val="125FC388"/>
    <w:rsid w:val="128772CF"/>
    <w:rsid w:val="132B4815"/>
    <w:rsid w:val="13CC6FC3"/>
    <w:rsid w:val="143F2F12"/>
    <w:rsid w:val="14EB331D"/>
    <w:rsid w:val="15225F4B"/>
    <w:rsid w:val="15DE05B9"/>
    <w:rsid w:val="15F2239C"/>
    <w:rsid w:val="16FC28A3"/>
    <w:rsid w:val="17C83BCF"/>
    <w:rsid w:val="17EB254D"/>
    <w:rsid w:val="17FEDD7D"/>
    <w:rsid w:val="187D2B10"/>
    <w:rsid w:val="19671539"/>
    <w:rsid w:val="199F50B4"/>
    <w:rsid w:val="19EC4A9D"/>
    <w:rsid w:val="1A352420"/>
    <w:rsid w:val="1A4F2B29"/>
    <w:rsid w:val="1A720E95"/>
    <w:rsid w:val="1B8F131E"/>
    <w:rsid w:val="1C185B56"/>
    <w:rsid w:val="1C2D7127"/>
    <w:rsid w:val="1D152095"/>
    <w:rsid w:val="1FBF278C"/>
    <w:rsid w:val="1FD355C8"/>
    <w:rsid w:val="1FF2376A"/>
    <w:rsid w:val="1FF7CD09"/>
    <w:rsid w:val="20A13AD8"/>
    <w:rsid w:val="20A830D3"/>
    <w:rsid w:val="20DB309C"/>
    <w:rsid w:val="214C004F"/>
    <w:rsid w:val="2293727B"/>
    <w:rsid w:val="22EF30B5"/>
    <w:rsid w:val="23B55A44"/>
    <w:rsid w:val="25D845A8"/>
    <w:rsid w:val="276E120E"/>
    <w:rsid w:val="27FFA19E"/>
    <w:rsid w:val="286B1A6F"/>
    <w:rsid w:val="2A123CF9"/>
    <w:rsid w:val="2A9860B3"/>
    <w:rsid w:val="2AF673EE"/>
    <w:rsid w:val="2BBF5208"/>
    <w:rsid w:val="2BFF3E25"/>
    <w:rsid w:val="2C102D89"/>
    <w:rsid w:val="2CB05936"/>
    <w:rsid w:val="2D4122C3"/>
    <w:rsid w:val="2E013B06"/>
    <w:rsid w:val="2E6FD75A"/>
    <w:rsid w:val="2E9E7614"/>
    <w:rsid w:val="2F325FDB"/>
    <w:rsid w:val="2FB6A7B5"/>
    <w:rsid w:val="2FF90D4D"/>
    <w:rsid w:val="2FFE4C78"/>
    <w:rsid w:val="309E5F32"/>
    <w:rsid w:val="30C47C02"/>
    <w:rsid w:val="30D15875"/>
    <w:rsid w:val="3372AD8E"/>
    <w:rsid w:val="33DA5051"/>
    <w:rsid w:val="342E73BA"/>
    <w:rsid w:val="343359CF"/>
    <w:rsid w:val="34987C24"/>
    <w:rsid w:val="34C95288"/>
    <w:rsid w:val="352A5E25"/>
    <w:rsid w:val="35F7EFB2"/>
    <w:rsid w:val="364A50C2"/>
    <w:rsid w:val="36DD9644"/>
    <w:rsid w:val="375BC598"/>
    <w:rsid w:val="37813E48"/>
    <w:rsid w:val="37F56AFA"/>
    <w:rsid w:val="37F97857"/>
    <w:rsid w:val="37FAD11F"/>
    <w:rsid w:val="3802344A"/>
    <w:rsid w:val="3881315D"/>
    <w:rsid w:val="38C73E8A"/>
    <w:rsid w:val="399F56D1"/>
    <w:rsid w:val="39A85B16"/>
    <w:rsid w:val="39FB2584"/>
    <w:rsid w:val="3A6B3EC8"/>
    <w:rsid w:val="3A7BDE4E"/>
    <w:rsid w:val="3ABFD21A"/>
    <w:rsid w:val="3B3E2D19"/>
    <w:rsid w:val="3BB6DB67"/>
    <w:rsid w:val="3BEB0359"/>
    <w:rsid w:val="3D9FE965"/>
    <w:rsid w:val="3DB334D8"/>
    <w:rsid w:val="3DDBC107"/>
    <w:rsid w:val="3E157CBB"/>
    <w:rsid w:val="3EBE379D"/>
    <w:rsid w:val="3EF78293"/>
    <w:rsid w:val="3EFFDC6F"/>
    <w:rsid w:val="3EFFE71D"/>
    <w:rsid w:val="3F134431"/>
    <w:rsid w:val="3F332BE1"/>
    <w:rsid w:val="3F6F4C84"/>
    <w:rsid w:val="3FB724C9"/>
    <w:rsid w:val="3FB79D63"/>
    <w:rsid w:val="3FD790B2"/>
    <w:rsid w:val="3FE33930"/>
    <w:rsid w:val="3FF7E73E"/>
    <w:rsid w:val="3FF9094A"/>
    <w:rsid w:val="3FFF0103"/>
    <w:rsid w:val="42972733"/>
    <w:rsid w:val="438A6373"/>
    <w:rsid w:val="43CA50D8"/>
    <w:rsid w:val="43FF65D4"/>
    <w:rsid w:val="445B509E"/>
    <w:rsid w:val="44F87B55"/>
    <w:rsid w:val="454B14C2"/>
    <w:rsid w:val="455D44D6"/>
    <w:rsid w:val="45D01763"/>
    <w:rsid w:val="47861253"/>
    <w:rsid w:val="480B58DB"/>
    <w:rsid w:val="48341DE7"/>
    <w:rsid w:val="499FA14E"/>
    <w:rsid w:val="49A406CC"/>
    <w:rsid w:val="49EB5DA8"/>
    <w:rsid w:val="4BFF4A87"/>
    <w:rsid w:val="4C765DFD"/>
    <w:rsid w:val="4D455DFA"/>
    <w:rsid w:val="4D4C4DB0"/>
    <w:rsid w:val="4D8E6EA9"/>
    <w:rsid w:val="4DFB06FD"/>
    <w:rsid w:val="4E2F4D0C"/>
    <w:rsid w:val="4E7D7DCC"/>
    <w:rsid w:val="4F7FC9DB"/>
    <w:rsid w:val="4FF5D448"/>
    <w:rsid w:val="4FF6B84C"/>
    <w:rsid w:val="4FFD05E3"/>
    <w:rsid w:val="4FFFC166"/>
    <w:rsid w:val="501E3A64"/>
    <w:rsid w:val="502035AF"/>
    <w:rsid w:val="50C376E3"/>
    <w:rsid w:val="519FB111"/>
    <w:rsid w:val="51B541DD"/>
    <w:rsid w:val="521D6D1B"/>
    <w:rsid w:val="53295DAB"/>
    <w:rsid w:val="532D11DF"/>
    <w:rsid w:val="53933C38"/>
    <w:rsid w:val="53F70C85"/>
    <w:rsid w:val="53FDEB52"/>
    <w:rsid w:val="54314AD3"/>
    <w:rsid w:val="547B5C4A"/>
    <w:rsid w:val="54A559B1"/>
    <w:rsid w:val="55121957"/>
    <w:rsid w:val="55273CB8"/>
    <w:rsid w:val="562F14A7"/>
    <w:rsid w:val="563C1E65"/>
    <w:rsid w:val="565D63E7"/>
    <w:rsid w:val="566FDA0B"/>
    <w:rsid w:val="56B56B7F"/>
    <w:rsid w:val="56DFB224"/>
    <w:rsid w:val="56FFE910"/>
    <w:rsid w:val="57637BFD"/>
    <w:rsid w:val="577A2748"/>
    <w:rsid w:val="577C72F3"/>
    <w:rsid w:val="57A6AD04"/>
    <w:rsid w:val="57BFAF64"/>
    <w:rsid w:val="57DF1787"/>
    <w:rsid w:val="57EF39D5"/>
    <w:rsid w:val="57FB3286"/>
    <w:rsid w:val="57FBDEDE"/>
    <w:rsid w:val="57FE1260"/>
    <w:rsid w:val="57FF1A71"/>
    <w:rsid w:val="58257391"/>
    <w:rsid w:val="59121AE5"/>
    <w:rsid w:val="59D94993"/>
    <w:rsid w:val="5A4D2BCA"/>
    <w:rsid w:val="5A77FD5D"/>
    <w:rsid w:val="5B3F4503"/>
    <w:rsid w:val="5B73AE91"/>
    <w:rsid w:val="5B7F4A24"/>
    <w:rsid w:val="5BF711C3"/>
    <w:rsid w:val="5C0C4BEE"/>
    <w:rsid w:val="5C5D1004"/>
    <w:rsid w:val="5C8259E8"/>
    <w:rsid w:val="5DBB0B7B"/>
    <w:rsid w:val="5E31CA6D"/>
    <w:rsid w:val="5E5BB30E"/>
    <w:rsid w:val="5EFF7612"/>
    <w:rsid w:val="5EFFB8CC"/>
    <w:rsid w:val="5F2711D9"/>
    <w:rsid w:val="5F9FF390"/>
    <w:rsid w:val="5FAB27F1"/>
    <w:rsid w:val="5FD7D915"/>
    <w:rsid w:val="5FFF0933"/>
    <w:rsid w:val="5FFF0B6A"/>
    <w:rsid w:val="60114363"/>
    <w:rsid w:val="608C39E9"/>
    <w:rsid w:val="60A200B6"/>
    <w:rsid w:val="60DB37B0"/>
    <w:rsid w:val="61EE544E"/>
    <w:rsid w:val="627AC5C2"/>
    <w:rsid w:val="63550A3E"/>
    <w:rsid w:val="63F2041F"/>
    <w:rsid w:val="63F9394C"/>
    <w:rsid w:val="63F99896"/>
    <w:rsid w:val="63FD6853"/>
    <w:rsid w:val="64803ACC"/>
    <w:rsid w:val="6588216A"/>
    <w:rsid w:val="65BF3C72"/>
    <w:rsid w:val="65BF611F"/>
    <w:rsid w:val="65F7578A"/>
    <w:rsid w:val="65FC33BF"/>
    <w:rsid w:val="66293A88"/>
    <w:rsid w:val="66306077"/>
    <w:rsid w:val="66C518E2"/>
    <w:rsid w:val="66D35104"/>
    <w:rsid w:val="675C55C8"/>
    <w:rsid w:val="67AE2497"/>
    <w:rsid w:val="67EF8263"/>
    <w:rsid w:val="697FC3C6"/>
    <w:rsid w:val="69B93354"/>
    <w:rsid w:val="6A575D96"/>
    <w:rsid w:val="6AA72924"/>
    <w:rsid w:val="6BE101AB"/>
    <w:rsid w:val="6BEF0A18"/>
    <w:rsid w:val="6BF50742"/>
    <w:rsid w:val="6BFF16A4"/>
    <w:rsid w:val="6C5A2BED"/>
    <w:rsid w:val="6CFED8CD"/>
    <w:rsid w:val="6D943BD2"/>
    <w:rsid w:val="6DDFCD9D"/>
    <w:rsid w:val="6DED8C22"/>
    <w:rsid w:val="6DEF23A4"/>
    <w:rsid w:val="6DF2485D"/>
    <w:rsid w:val="6DF5325A"/>
    <w:rsid w:val="6DFFC05A"/>
    <w:rsid w:val="6E043FD2"/>
    <w:rsid w:val="6E162B44"/>
    <w:rsid w:val="6ED52CBE"/>
    <w:rsid w:val="6EFFD78B"/>
    <w:rsid w:val="6F1CB5D5"/>
    <w:rsid w:val="6F886322"/>
    <w:rsid w:val="6FE7C6B3"/>
    <w:rsid w:val="701F5AB8"/>
    <w:rsid w:val="70231F6B"/>
    <w:rsid w:val="70BEE81C"/>
    <w:rsid w:val="70F2684E"/>
    <w:rsid w:val="7117470B"/>
    <w:rsid w:val="71C1709F"/>
    <w:rsid w:val="72127AC1"/>
    <w:rsid w:val="72311A72"/>
    <w:rsid w:val="72E906B3"/>
    <w:rsid w:val="733F1A1D"/>
    <w:rsid w:val="734A8C87"/>
    <w:rsid w:val="73BB9FC1"/>
    <w:rsid w:val="73DB1365"/>
    <w:rsid w:val="753712B2"/>
    <w:rsid w:val="75376A2A"/>
    <w:rsid w:val="75DFB75E"/>
    <w:rsid w:val="75F57930"/>
    <w:rsid w:val="75FBF119"/>
    <w:rsid w:val="75FF51EF"/>
    <w:rsid w:val="7658343D"/>
    <w:rsid w:val="765F6EC9"/>
    <w:rsid w:val="76AC2297"/>
    <w:rsid w:val="76D5AF8B"/>
    <w:rsid w:val="771A260D"/>
    <w:rsid w:val="773552F5"/>
    <w:rsid w:val="777D2DE2"/>
    <w:rsid w:val="77AEF1D7"/>
    <w:rsid w:val="77D794FA"/>
    <w:rsid w:val="77DA1FEE"/>
    <w:rsid w:val="77DFB31F"/>
    <w:rsid w:val="77EE1AF1"/>
    <w:rsid w:val="77EF93BB"/>
    <w:rsid w:val="77FA201F"/>
    <w:rsid w:val="77FB4D92"/>
    <w:rsid w:val="77FEA16E"/>
    <w:rsid w:val="781E3C17"/>
    <w:rsid w:val="78686692"/>
    <w:rsid w:val="791C3299"/>
    <w:rsid w:val="794B4E10"/>
    <w:rsid w:val="79DC1C40"/>
    <w:rsid w:val="79F745B6"/>
    <w:rsid w:val="79FE00A0"/>
    <w:rsid w:val="7A2A0EAD"/>
    <w:rsid w:val="7A472BA5"/>
    <w:rsid w:val="7A7D636F"/>
    <w:rsid w:val="7AF901BE"/>
    <w:rsid w:val="7AFD7566"/>
    <w:rsid w:val="7B6FB53B"/>
    <w:rsid w:val="7B7FD20E"/>
    <w:rsid w:val="7BC7984F"/>
    <w:rsid w:val="7BDBE1C5"/>
    <w:rsid w:val="7BDC9C20"/>
    <w:rsid w:val="7BEE461F"/>
    <w:rsid w:val="7BF764BF"/>
    <w:rsid w:val="7BFCB5D6"/>
    <w:rsid w:val="7BFD6C7D"/>
    <w:rsid w:val="7BFD6F00"/>
    <w:rsid w:val="7BFDCF02"/>
    <w:rsid w:val="7CCEFEA8"/>
    <w:rsid w:val="7D9EBD6F"/>
    <w:rsid w:val="7DBE1D5A"/>
    <w:rsid w:val="7DBF7427"/>
    <w:rsid w:val="7DD05DA0"/>
    <w:rsid w:val="7DF6BB60"/>
    <w:rsid w:val="7DFE7A2C"/>
    <w:rsid w:val="7DFFC8EE"/>
    <w:rsid w:val="7DFFEBC9"/>
    <w:rsid w:val="7E7ECD9C"/>
    <w:rsid w:val="7E7FD0A3"/>
    <w:rsid w:val="7E84737C"/>
    <w:rsid w:val="7E93617D"/>
    <w:rsid w:val="7E9BD710"/>
    <w:rsid w:val="7EB43704"/>
    <w:rsid w:val="7EBFF83B"/>
    <w:rsid w:val="7EF35B84"/>
    <w:rsid w:val="7EFDA73A"/>
    <w:rsid w:val="7EFE9CC9"/>
    <w:rsid w:val="7F1A212E"/>
    <w:rsid w:val="7F6CFA3C"/>
    <w:rsid w:val="7F7AFCDF"/>
    <w:rsid w:val="7F7DB2D1"/>
    <w:rsid w:val="7F7DB696"/>
    <w:rsid w:val="7F7FBCC3"/>
    <w:rsid w:val="7FA06711"/>
    <w:rsid w:val="7FA12D05"/>
    <w:rsid w:val="7FAFD5A1"/>
    <w:rsid w:val="7FB35E2B"/>
    <w:rsid w:val="7FB782ED"/>
    <w:rsid w:val="7FB7E807"/>
    <w:rsid w:val="7FBF1278"/>
    <w:rsid w:val="7FBFE723"/>
    <w:rsid w:val="7FD37B9D"/>
    <w:rsid w:val="7FDCD2A4"/>
    <w:rsid w:val="7FDD58BA"/>
    <w:rsid w:val="7FDF053E"/>
    <w:rsid w:val="7FDF6D7F"/>
    <w:rsid w:val="7FEDB387"/>
    <w:rsid w:val="7FEFF280"/>
    <w:rsid w:val="7FF22392"/>
    <w:rsid w:val="7FF54F4C"/>
    <w:rsid w:val="7FFAC9E8"/>
    <w:rsid w:val="7FFB6169"/>
    <w:rsid w:val="7FFCD537"/>
    <w:rsid w:val="7FFD4BD3"/>
    <w:rsid w:val="7FFF570F"/>
    <w:rsid w:val="84BEA54F"/>
    <w:rsid w:val="8CFFA866"/>
    <w:rsid w:val="8DB772DD"/>
    <w:rsid w:val="8FED1BED"/>
    <w:rsid w:val="8FFDEBC9"/>
    <w:rsid w:val="933EC4D1"/>
    <w:rsid w:val="93FDE808"/>
    <w:rsid w:val="9577FAD0"/>
    <w:rsid w:val="95ED7CAB"/>
    <w:rsid w:val="977B600E"/>
    <w:rsid w:val="9ABF0D86"/>
    <w:rsid w:val="9AFFEEA2"/>
    <w:rsid w:val="9F6D0284"/>
    <w:rsid w:val="9FBB2C42"/>
    <w:rsid w:val="9FE1FCC1"/>
    <w:rsid w:val="9FEAA1B3"/>
    <w:rsid w:val="9FFE4336"/>
    <w:rsid w:val="A65FC8D7"/>
    <w:rsid w:val="ABFF0733"/>
    <w:rsid w:val="ABFF1CAF"/>
    <w:rsid w:val="AC73C2E3"/>
    <w:rsid w:val="AEB53F30"/>
    <w:rsid w:val="AEBBC4F6"/>
    <w:rsid w:val="AEFF9707"/>
    <w:rsid w:val="AF3E96DB"/>
    <w:rsid w:val="AFE19F10"/>
    <w:rsid w:val="B4DFCFF3"/>
    <w:rsid w:val="B4F78A0D"/>
    <w:rsid w:val="B53D5D8C"/>
    <w:rsid w:val="B53F4CBC"/>
    <w:rsid w:val="B57A8C7A"/>
    <w:rsid w:val="B637BB57"/>
    <w:rsid w:val="B77BBA8C"/>
    <w:rsid w:val="B97F58A9"/>
    <w:rsid w:val="BAD657BE"/>
    <w:rsid w:val="BB55FDF5"/>
    <w:rsid w:val="BBBBB2DB"/>
    <w:rsid w:val="BC5FA710"/>
    <w:rsid w:val="BC6C51F2"/>
    <w:rsid w:val="BDBFBEAE"/>
    <w:rsid w:val="BDF5A1E4"/>
    <w:rsid w:val="BEDF688A"/>
    <w:rsid w:val="BEEFCA9B"/>
    <w:rsid w:val="BF4E719A"/>
    <w:rsid w:val="BF6B17FD"/>
    <w:rsid w:val="BF6F6A65"/>
    <w:rsid w:val="BF776161"/>
    <w:rsid w:val="BF7E871F"/>
    <w:rsid w:val="BF7FAE2A"/>
    <w:rsid w:val="BFDEC87D"/>
    <w:rsid w:val="BFF39D1D"/>
    <w:rsid w:val="BFFA60ED"/>
    <w:rsid w:val="BFFE3A52"/>
    <w:rsid w:val="BFFF7D5B"/>
    <w:rsid w:val="BFFFB0A6"/>
    <w:rsid w:val="C3FF597F"/>
    <w:rsid w:val="C5BB0D6C"/>
    <w:rsid w:val="CBE70E07"/>
    <w:rsid w:val="CBFFC8C4"/>
    <w:rsid w:val="CCBB838B"/>
    <w:rsid w:val="CCDFB73C"/>
    <w:rsid w:val="CCFF4C4A"/>
    <w:rsid w:val="CDAF7628"/>
    <w:rsid w:val="CEF76123"/>
    <w:rsid w:val="CEFB2EE2"/>
    <w:rsid w:val="CFBBE701"/>
    <w:rsid w:val="CFEDD54B"/>
    <w:rsid w:val="CFFFFEC3"/>
    <w:rsid w:val="D18FE5EA"/>
    <w:rsid w:val="D37D5342"/>
    <w:rsid w:val="D59B2A56"/>
    <w:rsid w:val="D7FFC128"/>
    <w:rsid w:val="D8FE20CF"/>
    <w:rsid w:val="D97B87C5"/>
    <w:rsid w:val="DB7FC4B9"/>
    <w:rsid w:val="DBFE13A0"/>
    <w:rsid w:val="DCFF61E9"/>
    <w:rsid w:val="DD978C72"/>
    <w:rsid w:val="DDDFED63"/>
    <w:rsid w:val="DEBEBB48"/>
    <w:rsid w:val="DEE3EA4F"/>
    <w:rsid w:val="DEF72AE6"/>
    <w:rsid w:val="DEFF1B00"/>
    <w:rsid w:val="DEFFED18"/>
    <w:rsid w:val="DF6E5E55"/>
    <w:rsid w:val="DF7BF4B5"/>
    <w:rsid w:val="DF7EB9C2"/>
    <w:rsid w:val="DF967462"/>
    <w:rsid w:val="DFF3DBC1"/>
    <w:rsid w:val="DFF48FB0"/>
    <w:rsid w:val="DFFD0CA5"/>
    <w:rsid w:val="DFFF1A8B"/>
    <w:rsid w:val="DFFF2DB4"/>
    <w:rsid w:val="DFFFDA2A"/>
    <w:rsid w:val="E0F6BDC9"/>
    <w:rsid w:val="E1BEDBAD"/>
    <w:rsid w:val="E1E99726"/>
    <w:rsid w:val="E3F3DE56"/>
    <w:rsid w:val="E5DF2F0A"/>
    <w:rsid w:val="E5EBC302"/>
    <w:rsid w:val="E6BB39B6"/>
    <w:rsid w:val="E6FC0DC4"/>
    <w:rsid w:val="E74D86A1"/>
    <w:rsid w:val="E77652FE"/>
    <w:rsid w:val="E77A6F77"/>
    <w:rsid w:val="E7B775AB"/>
    <w:rsid w:val="E8B9CEA3"/>
    <w:rsid w:val="E99FE0F4"/>
    <w:rsid w:val="E9FF75FC"/>
    <w:rsid w:val="EB798B4C"/>
    <w:rsid w:val="EB9E5D8E"/>
    <w:rsid w:val="EBBDE071"/>
    <w:rsid w:val="ECE7543F"/>
    <w:rsid w:val="ECF3E95C"/>
    <w:rsid w:val="ECF71257"/>
    <w:rsid w:val="EDBB2867"/>
    <w:rsid w:val="EE9EE686"/>
    <w:rsid w:val="EEDFBAAF"/>
    <w:rsid w:val="EF744262"/>
    <w:rsid w:val="EF79C391"/>
    <w:rsid w:val="EF8F057E"/>
    <w:rsid w:val="EFD87ADD"/>
    <w:rsid w:val="EFEB971F"/>
    <w:rsid w:val="EFFD8239"/>
    <w:rsid w:val="F11791B5"/>
    <w:rsid w:val="F24AFF92"/>
    <w:rsid w:val="F3FA85ED"/>
    <w:rsid w:val="F73E531B"/>
    <w:rsid w:val="F73F0944"/>
    <w:rsid w:val="F77525FE"/>
    <w:rsid w:val="F79AB8BE"/>
    <w:rsid w:val="F7A9E638"/>
    <w:rsid w:val="F7ED54EF"/>
    <w:rsid w:val="F7EDBEF5"/>
    <w:rsid w:val="F7F36FC2"/>
    <w:rsid w:val="F7F7062F"/>
    <w:rsid w:val="F7FF0966"/>
    <w:rsid w:val="F8B88450"/>
    <w:rsid w:val="F9FFBB93"/>
    <w:rsid w:val="FAEF45D0"/>
    <w:rsid w:val="FAFE1C08"/>
    <w:rsid w:val="FB56EE16"/>
    <w:rsid w:val="FB75D57E"/>
    <w:rsid w:val="FB77BB56"/>
    <w:rsid w:val="FBFE0B9F"/>
    <w:rsid w:val="FD79DEF9"/>
    <w:rsid w:val="FD79E7B9"/>
    <w:rsid w:val="FD7F6F01"/>
    <w:rsid w:val="FDB178F7"/>
    <w:rsid w:val="FDB7F058"/>
    <w:rsid w:val="FDCE09F1"/>
    <w:rsid w:val="FDDF4F13"/>
    <w:rsid w:val="FDEE6A91"/>
    <w:rsid w:val="FDF7901E"/>
    <w:rsid w:val="FDFD6C58"/>
    <w:rsid w:val="FDFF6C17"/>
    <w:rsid w:val="FE47C731"/>
    <w:rsid w:val="FE77AF9B"/>
    <w:rsid w:val="FE99FD59"/>
    <w:rsid w:val="FEBAFDC2"/>
    <w:rsid w:val="FEBBA252"/>
    <w:rsid w:val="FF0E064E"/>
    <w:rsid w:val="FF411420"/>
    <w:rsid w:val="FF5F34DA"/>
    <w:rsid w:val="FF5F8B6C"/>
    <w:rsid w:val="FF63C938"/>
    <w:rsid w:val="FF7FE0A8"/>
    <w:rsid w:val="FFBF295B"/>
    <w:rsid w:val="FFBFA686"/>
    <w:rsid w:val="FFBFB6E1"/>
    <w:rsid w:val="FFD3FDB6"/>
    <w:rsid w:val="FFD70D18"/>
    <w:rsid w:val="FFDAD85E"/>
    <w:rsid w:val="FFDEC2BE"/>
    <w:rsid w:val="FFDF53E2"/>
    <w:rsid w:val="FFDF9DB9"/>
    <w:rsid w:val="FFDFF372"/>
    <w:rsid w:val="FFE7E085"/>
    <w:rsid w:val="FFEAE801"/>
    <w:rsid w:val="FFEF38A5"/>
    <w:rsid w:val="FFEF4DFC"/>
    <w:rsid w:val="FFEFB948"/>
    <w:rsid w:val="FFF0CD4D"/>
    <w:rsid w:val="FFF3708E"/>
    <w:rsid w:val="FFF5E876"/>
    <w:rsid w:val="FFF650F9"/>
    <w:rsid w:val="FFF709F5"/>
    <w:rsid w:val="FFF96CE8"/>
    <w:rsid w:val="FFFBAA2B"/>
    <w:rsid w:val="FFFF69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jc w:val="both"/>
    </w:pPr>
    <w:rPr>
      <w:rFonts w:ascii="Calibri" w:hAnsi="Calibri" w:eastAsia="宋体" w:cs="Times New Roman"/>
      <w:kern w:val="2"/>
      <w:sz w:val="21"/>
      <w:szCs w:val="24"/>
      <w:lang w:val="en-US" w:eastAsia="zh-CN" w:bidi="ar-SA"/>
    </w:rPr>
  </w:style>
  <w:style w:type="paragraph" w:styleId="2">
    <w:name w:val="heading 3"/>
    <w:basedOn w:val="1"/>
    <w:next w:val="1"/>
    <w:qFormat/>
    <w:uiPriority w:val="0"/>
    <w:pPr>
      <w:keepNext/>
      <w:keepLines/>
      <w:spacing w:before="260" w:beforeLines="0" w:beforeAutospacing="0" w:after="260" w:afterLines="0" w:afterAutospacing="0" w:line="413" w:lineRule="auto"/>
      <w:outlineLvl w:val="2"/>
    </w:pPr>
    <w:rPr>
      <w:b/>
      <w:sz w:val="32"/>
    </w:rPr>
  </w:style>
  <w:style w:type="character" w:default="1" w:styleId="13">
    <w:name w:val="Default Paragraph Font"/>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99"/>
    <w:pPr>
      <w:spacing w:line="360" w:lineRule="auto"/>
      <w:ind w:firstLine="420"/>
    </w:pPr>
    <w:rPr>
      <w:rFonts w:ascii="Times New Roman" w:hAnsi="Times New Roman" w:eastAsia="仿宋_GB2312" w:cs="Times New Roman"/>
      <w:sz w:val="24"/>
    </w:rPr>
  </w:style>
  <w:style w:type="paragraph" w:styleId="4">
    <w:name w:val="caption"/>
    <w:basedOn w:val="1"/>
    <w:next w:val="1"/>
    <w:qFormat/>
    <w:uiPriority w:val="0"/>
    <w:pPr>
      <w:widowControl w:val="0"/>
      <w:suppressLineNumbers/>
      <w:suppressAutoHyphens/>
      <w:spacing w:before="120" w:after="120"/>
    </w:pPr>
    <w:rPr>
      <w:i/>
      <w:iCs/>
      <w:sz w:val="24"/>
      <w:szCs w:val="24"/>
    </w:rPr>
  </w:style>
  <w:style w:type="paragraph" w:styleId="5">
    <w:name w:val="annotation text"/>
    <w:basedOn w:val="1"/>
    <w:autoRedefine/>
    <w:qFormat/>
    <w:uiPriority w:val="0"/>
    <w:pPr>
      <w:jc w:val="left"/>
    </w:pPr>
  </w:style>
  <w:style w:type="paragraph" w:styleId="6">
    <w:name w:val="Body Text"/>
    <w:basedOn w:val="1"/>
    <w:qFormat/>
    <w:uiPriority w:val="0"/>
    <w:pPr>
      <w:spacing w:before="0" w:after="140" w:line="276" w:lineRule="auto"/>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List"/>
    <w:basedOn w:val="6"/>
    <w:qFormat/>
    <w:uiPriority w:val="0"/>
  </w:style>
  <w:style w:type="paragraph" w:styleId="10">
    <w:name w:val="Normal (Web)"/>
    <w:basedOn w:val="1"/>
    <w:unhideWhenUsed/>
    <w:qFormat/>
    <w:uiPriority w:val="0"/>
    <w:pPr>
      <w:widowControl/>
      <w:spacing w:before="100" w:beforeAutospacing="1" w:after="100" w:afterAutospacing="1"/>
      <w:jc w:val="left"/>
    </w:pPr>
    <w:rPr>
      <w:rFonts w:ascii="宋体" w:hAnsi="宋体" w:eastAsia="宋体" w:cs="宋体"/>
      <w:kern w:val="0"/>
      <w:sz w:val="24"/>
      <w:szCs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默认段落字体1"/>
    <w:qFormat/>
    <w:uiPriority w:val="0"/>
  </w:style>
  <w:style w:type="paragraph" w:customStyle="1" w:styleId="15">
    <w:name w:val="Heading"/>
    <w:basedOn w:val="1"/>
    <w:next w:val="6"/>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6">
    <w:name w:val="Index"/>
    <w:basedOn w:val="1"/>
    <w:qFormat/>
    <w:uiPriority w:val="0"/>
    <w:pPr>
      <w:widowControl w:val="0"/>
      <w:suppressLineNumbers/>
      <w:suppressAutoHyphens/>
    </w:pPr>
  </w:style>
  <w:style w:type="paragraph" w:customStyle="1" w:styleId="17">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8">
    <w:name w:val="二级条标题"/>
    <w:basedOn w:val="19"/>
    <w:next w:val="17"/>
    <w:qFormat/>
    <w:uiPriority w:val="0"/>
    <w:pPr>
      <w:numPr>
        <w:ilvl w:val="2"/>
      </w:numPr>
      <w:spacing w:before="50" w:after="50"/>
      <w:outlineLvl w:val="3"/>
    </w:pPr>
  </w:style>
  <w:style w:type="paragraph" w:customStyle="1" w:styleId="19">
    <w:name w:val="一级条标题"/>
    <w:next w:val="17"/>
    <w:qFormat/>
    <w:uiPriority w:val="0"/>
    <w:pPr>
      <w:numPr>
        <w:ilvl w:val="1"/>
        <w:numId w:val="1"/>
      </w:numPr>
      <w:spacing w:beforeLines="50" w:afterLines="50"/>
      <w:outlineLvl w:val="2"/>
    </w:pPr>
    <w:rPr>
      <w:rFonts w:ascii="黑体" w:hAnsi="Times New Roman" w:eastAsia="黑体" w:cs="Times New Roman"/>
      <w:sz w:val="21"/>
      <w:szCs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7760</Words>
  <Characters>8190</Characters>
  <Lines>140</Lines>
  <Paragraphs>39</Paragraphs>
  <TotalTime>3</TotalTime>
  <ScaleCrop>false</ScaleCrop>
  <LinksUpToDate>false</LinksUpToDate>
  <CharactersWithSpaces>8265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2023-08-17T11:10:00Z</dcterms:created>
  <dc:creator>usre</dc:creator>
  <cp:lastModifiedBy>贺小敏</cp:lastModifiedBy>
  <dcterms:modified xsi:type="dcterms:W3CDTF">2025-07-09T08:24:39Z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B62E48CF1A3A4CB3AAFEAD7E58BA4F44_13</vt:lpwstr>
  </property>
  <property fmtid="{D5CDD505-2E9C-101B-9397-08002B2CF9AE}" pid="4" name="KSOTemplateDocerSaveRecord">
    <vt:lpwstr>eyJoZGlkIjoiMzEwNTM5NzYwMDRjMzkwZTVkZjY2ODkwMGIxNGU0OTUiLCJ1c2VySWQiOiI0MzY5NDM5NTgifQ==</vt:lpwstr>
  </property>
</Properties>
</file>